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565" w:rsidRPr="00484128" w:rsidRDefault="003C2565" w:rsidP="00484128">
      <w:pPr>
        <w:pStyle w:val="Heading1"/>
      </w:pPr>
      <w:bookmarkStart w:id="0" w:name="_GoBack"/>
      <w:bookmarkEnd w:id="0"/>
      <w:r w:rsidRPr="00484128">
        <w:t>Where People Are Served</w:t>
      </w:r>
    </w:p>
    <w:p w:rsidR="003C2565" w:rsidRPr="003C2565" w:rsidRDefault="003C2565" w:rsidP="003C2565">
      <w:pPr>
        <w:rPr>
          <w:rFonts w:ascii="Arial" w:hAnsi="Arial" w:cs="Arial"/>
          <w:sz w:val="25"/>
          <w:szCs w:val="25"/>
          <w:lang w:val="en"/>
        </w:rPr>
      </w:pPr>
    </w:p>
    <w:p w:rsidR="003C2565" w:rsidRDefault="003C2565" w:rsidP="003C2565">
      <w:pPr>
        <w:rPr>
          <w:rFonts w:ascii="Arial" w:hAnsi="Arial" w:cs="Arial"/>
          <w:sz w:val="25"/>
          <w:szCs w:val="25"/>
          <w:lang w:val="en"/>
        </w:rPr>
      </w:pPr>
      <w:r w:rsidRPr="003C2565">
        <w:rPr>
          <w:rFonts w:ascii="Arial" w:hAnsi="Arial" w:cs="Arial"/>
          <w:sz w:val="25"/>
          <w:szCs w:val="25"/>
          <w:lang w:val="en"/>
        </w:rPr>
        <w:t>This page shows average number of regional center consumers receiving servi</w:t>
      </w:r>
      <w:r w:rsidR="00E155FE">
        <w:rPr>
          <w:rFonts w:ascii="Arial" w:hAnsi="Arial" w:cs="Arial"/>
          <w:sz w:val="25"/>
          <w:szCs w:val="25"/>
          <w:lang w:val="en"/>
        </w:rPr>
        <w:t>ces statewide. In the last eight</w:t>
      </w:r>
      <w:r w:rsidRPr="003C2565">
        <w:rPr>
          <w:rFonts w:ascii="Arial" w:hAnsi="Arial" w:cs="Arial"/>
          <w:sz w:val="25"/>
          <w:szCs w:val="25"/>
          <w:lang w:val="en"/>
        </w:rPr>
        <w:t xml:space="preserve"> years, fewer people are in individual placement supported employment, which is integrated compe</w:t>
      </w:r>
      <w:r w:rsidR="00E155FE">
        <w:rPr>
          <w:rFonts w:ascii="Arial" w:hAnsi="Arial" w:cs="Arial"/>
          <w:sz w:val="25"/>
          <w:szCs w:val="25"/>
          <w:lang w:val="en"/>
        </w:rPr>
        <w:t>titive employment. There are 1,1</w:t>
      </w:r>
      <w:r w:rsidRPr="003C2565">
        <w:rPr>
          <w:rFonts w:ascii="Arial" w:hAnsi="Arial" w:cs="Arial"/>
          <w:sz w:val="25"/>
          <w:szCs w:val="25"/>
          <w:lang w:val="en"/>
        </w:rPr>
        <w:t xml:space="preserve">00 more people in group supported employment, while fewer and fewer people are choosing sheltered work. Day and look alike day programs </w:t>
      </w:r>
      <w:r w:rsidR="00E155FE">
        <w:rPr>
          <w:rFonts w:ascii="Arial" w:hAnsi="Arial" w:cs="Arial"/>
          <w:sz w:val="25"/>
          <w:szCs w:val="25"/>
          <w:lang w:val="en"/>
        </w:rPr>
        <w:t>have increased a lot, by over 15</w:t>
      </w:r>
      <w:r w:rsidRPr="003C2565">
        <w:rPr>
          <w:rFonts w:ascii="Arial" w:hAnsi="Arial" w:cs="Arial"/>
          <w:sz w:val="25"/>
          <w:szCs w:val="25"/>
          <w:lang w:val="en"/>
        </w:rPr>
        <w:t xml:space="preserve">,000 people. </w:t>
      </w:r>
      <w:r w:rsidRPr="003C2565">
        <w:rPr>
          <w:rFonts w:ascii="Arial" w:hAnsi="Arial" w:cs="Arial"/>
          <w:sz w:val="25"/>
          <w:szCs w:val="25"/>
          <w:lang w:val="en"/>
        </w:rPr>
        <w:br/>
      </w:r>
      <w:r w:rsidRPr="003C2565">
        <w:rPr>
          <w:rFonts w:ascii="Arial" w:hAnsi="Arial" w:cs="Arial"/>
          <w:sz w:val="25"/>
          <w:szCs w:val="25"/>
          <w:lang w:val="en"/>
        </w:rPr>
        <w:br/>
        <w:t xml:space="preserve">Many day and look alike programs offer limited work experience to their clients. However, there is no data on how many clients work through these programs, how many hours a week they work, or what their hourly earnings are. </w:t>
      </w:r>
      <w:r w:rsidRPr="003C2565">
        <w:rPr>
          <w:rFonts w:ascii="Arial" w:hAnsi="Arial" w:cs="Arial"/>
          <w:sz w:val="25"/>
          <w:szCs w:val="25"/>
          <w:lang w:val="en"/>
        </w:rPr>
        <w:br/>
      </w:r>
      <w:r w:rsidRPr="003C2565">
        <w:rPr>
          <w:rFonts w:ascii="Arial" w:hAnsi="Arial" w:cs="Arial"/>
          <w:sz w:val="25"/>
          <w:szCs w:val="25"/>
          <w:lang w:val="en"/>
        </w:rPr>
        <w:br/>
      </w:r>
      <w:r w:rsidRPr="003C2565">
        <w:rPr>
          <w:rFonts w:ascii="Arial" w:hAnsi="Arial" w:cs="Arial"/>
          <w:b/>
          <w:bCs/>
          <w:sz w:val="25"/>
          <w:szCs w:val="25"/>
          <w:lang w:val="en"/>
        </w:rPr>
        <w:t>What this page shows us:</w:t>
      </w:r>
      <w:r w:rsidRPr="003C2565">
        <w:rPr>
          <w:rFonts w:ascii="Arial" w:hAnsi="Arial" w:cs="Arial"/>
          <w:sz w:val="25"/>
          <w:szCs w:val="25"/>
          <w:lang w:val="en"/>
        </w:rPr>
        <w:t xml:space="preserve"> Even though people want to work, and we know how to support them to work, the vast majority of service growth has been largely non-work programs. This means that most people who become adults go into non-work programs instead of employment services. </w:t>
      </w:r>
    </w:p>
    <w:p w:rsidR="003C2565" w:rsidRDefault="002C34F4" w:rsidP="002C34F4">
      <w:pPr>
        <w:pStyle w:val="Heading2"/>
        <w:rPr>
          <w:lang w:val="en"/>
        </w:rPr>
      </w:pPr>
      <w:r>
        <w:rPr>
          <w:lang w:val="en"/>
        </w:rPr>
        <w:t>Table 1. Where People are Served</w:t>
      </w:r>
      <w:r w:rsidR="00DC6E3B">
        <w:rPr>
          <w:lang w:val="en"/>
        </w:rPr>
        <w:t xml:space="preserve"> (2005-20013</w:t>
      </w:r>
      <w:r w:rsidR="00815AA9">
        <w:rPr>
          <w:lang w:val="en"/>
        </w:rPr>
        <w:t>)</w:t>
      </w:r>
    </w:p>
    <w:p w:rsidR="002C34F4" w:rsidRPr="003C2565" w:rsidRDefault="002C34F4" w:rsidP="003C2565">
      <w:pPr>
        <w:rPr>
          <w:rFonts w:ascii="Arial" w:hAnsi="Arial" w:cs="Arial"/>
          <w:sz w:val="25"/>
          <w:szCs w:val="25"/>
          <w:lang w:val="en"/>
        </w:rPr>
      </w:pPr>
    </w:p>
    <w:tbl>
      <w:tblPr>
        <w:tblW w:w="5745" w:type="dxa"/>
        <w:jc w:val="center"/>
        <w:tblCellMar>
          <w:left w:w="0" w:type="dxa"/>
          <w:right w:w="0" w:type="dxa"/>
        </w:tblCellMar>
        <w:tblLook w:val="04A0" w:firstRow="1" w:lastRow="0" w:firstColumn="1" w:lastColumn="0" w:noHBand="0" w:noVBand="1"/>
        <w:tblCaption w:val="Where People are Servied (2005-2011)"/>
        <w:tblDescription w:val="Table illustrates the number of people employed in various programs (Supported Employment Individual, Supported Employment Group, WAP, Day and Look Alike Program) between 2005- 2011"/>
      </w:tblPr>
      <w:tblGrid>
        <w:gridCol w:w="1009"/>
        <w:gridCol w:w="1801"/>
        <w:gridCol w:w="1801"/>
        <w:gridCol w:w="1065"/>
        <w:gridCol w:w="1468"/>
      </w:tblGrid>
      <w:tr w:rsidR="003C2565" w:rsidRPr="003C2565" w:rsidTr="003C2565">
        <w:trPr>
          <w:trHeight w:val="945"/>
          <w:tblHeader/>
          <w:jc w:val="center"/>
        </w:trPr>
        <w:tc>
          <w:tcPr>
            <w:tcW w:w="1170" w:type="dxa"/>
            <w:tcBorders>
              <w:top w:val="single" w:sz="8" w:space="0" w:color="auto"/>
              <w:left w:val="single" w:sz="8" w:space="0" w:color="auto"/>
              <w:bottom w:val="single" w:sz="8" w:space="0" w:color="auto"/>
              <w:right w:val="single" w:sz="8" w:space="0" w:color="auto"/>
            </w:tcBorders>
            <w:shd w:val="clear" w:color="auto" w:fill="DAEEF3"/>
            <w:tcMar>
              <w:top w:w="75" w:type="dxa"/>
              <w:left w:w="150" w:type="dxa"/>
              <w:bottom w:w="75" w:type="dxa"/>
              <w:right w:w="150" w:type="dxa"/>
            </w:tcMar>
            <w:vAlign w:val="center"/>
            <w:hideMark/>
          </w:tcPr>
          <w:p w:rsidR="003C2565" w:rsidRPr="003C2565" w:rsidRDefault="003C2565" w:rsidP="003C2565">
            <w:pPr>
              <w:rPr>
                <w:rFonts w:ascii="Arial" w:hAnsi="Arial" w:cs="Arial"/>
                <w:b/>
                <w:bCs/>
                <w:sz w:val="25"/>
                <w:szCs w:val="25"/>
              </w:rPr>
            </w:pPr>
            <w:r w:rsidRPr="003C2565">
              <w:rPr>
                <w:rFonts w:ascii="Arial" w:hAnsi="Arial" w:cs="Arial"/>
                <w:b/>
                <w:bCs/>
                <w:sz w:val="25"/>
                <w:szCs w:val="25"/>
              </w:rPr>
              <w:t>Fiscal Year</w:t>
            </w:r>
          </w:p>
        </w:tc>
        <w:tc>
          <w:tcPr>
            <w:tcW w:w="1170" w:type="dxa"/>
            <w:tcBorders>
              <w:top w:val="single" w:sz="8" w:space="0" w:color="auto"/>
              <w:left w:val="single" w:sz="8" w:space="0" w:color="auto"/>
              <w:bottom w:val="single" w:sz="8" w:space="0" w:color="auto"/>
              <w:right w:val="single" w:sz="8" w:space="0" w:color="auto"/>
            </w:tcBorders>
            <w:shd w:val="clear" w:color="auto" w:fill="DAEEF3"/>
            <w:tcMar>
              <w:top w:w="75" w:type="dxa"/>
              <w:left w:w="150" w:type="dxa"/>
              <w:bottom w:w="75" w:type="dxa"/>
              <w:right w:w="150" w:type="dxa"/>
            </w:tcMar>
            <w:vAlign w:val="center"/>
            <w:hideMark/>
          </w:tcPr>
          <w:p w:rsidR="003C2565" w:rsidRPr="003C2565" w:rsidRDefault="003C2565" w:rsidP="003C2565">
            <w:pPr>
              <w:rPr>
                <w:rFonts w:ascii="Arial" w:hAnsi="Arial" w:cs="Arial"/>
                <w:b/>
                <w:bCs/>
                <w:sz w:val="25"/>
                <w:szCs w:val="25"/>
              </w:rPr>
            </w:pPr>
            <w:r w:rsidRPr="003C2565">
              <w:rPr>
                <w:rFonts w:ascii="Arial" w:hAnsi="Arial" w:cs="Arial"/>
                <w:b/>
                <w:bCs/>
                <w:sz w:val="25"/>
                <w:szCs w:val="25"/>
              </w:rPr>
              <w:t>Supported Employment Programs Individual</w:t>
            </w:r>
          </w:p>
        </w:tc>
        <w:tc>
          <w:tcPr>
            <w:tcW w:w="1170" w:type="dxa"/>
            <w:tcBorders>
              <w:top w:val="single" w:sz="8" w:space="0" w:color="auto"/>
              <w:left w:val="single" w:sz="8" w:space="0" w:color="auto"/>
              <w:bottom w:val="single" w:sz="8" w:space="0" w:color="auto"/>
              <w:right w:val="single" w:sz="8" w:space="0" w:color="auto"/>
            </w:tcBorders>
            <w:shd w:val="clear" w:color="auto" w:fill="DAEEF3"/>
            <w:tcMar>
              <w:top w:w="75" w:type="dxa"/>
              <w:left w:w="150" w:type="dxa"/>
              <w:bottom w:w="75" w:type="dxa"/>
              <w:right w:w="150" w:type="dxa"/>
            </w:tcMar>
            <w:vAlign w:val="center"/>
            <w:hideMark/>
          </w:tcPr>
          <w:p w:rsidR="003C2565" w:rsidRPr="003C2565" w:rsidRDefault="003C2565" w:rsidP="003C2565">
            <w:pPr>
              <w:rPr>
                <w:rFonts w:ascii="Arial" w:hAnsi="Arial" w:cs="Arial"/>
                <w:b/>
                <w:bCs/>
                <w:sz w:val="25"/>
                <w:szCs w:val="25"/>
              </w:rPr>
            </w:pPr>
            <w:r w:rsidRPr="003C2565">
              <w:rPr>
                <w:rFonts w:ascii="Arial" w:hAnsi="Arial" w:cs="Arial"/>
                <w:b/>
                <w:bCs/>
                <w:sz w:val="25"/>
                <w:szCs w:val="25"/>
              </w:rPr>
              <w:t>Supported Employment Programs Group</w:t>
            </w:r>
          </w:p>
        </w:tc>
        <w:tc>
          <w:tcPr>
            <w:tcW w:w="1170" w:type="dxa"/>
            <w:tcBorders>
              <w:top w:val="single" w:sz="8" w:space="0" w:color="auto"/>
              <w:left w:val="single" w:sz="8" w:space="0" w:color="auto"/>
              <w:bottom w:val="single" w:sz="8" w:space="0" w:color="auto"/>
              <w:right w:val="single" w:sz="8" w:space="0" w:color="auto"/>
            </w:tcBorders>
            <w:shd w:val="clear" w:color="auto" w:fill="DAEEF3"/>
            <w:tcMar>
              <w:top w:w="75" w:type="dxa"/>
              <w:left w:w="150" w:type="dxa"/>
              <w:bottom w:w="75" w:type="dxa"/>
              <w:right w:w="150" w:type="dxa"/>
            </w:tcMar>
            <w:vAlign w:val="center"/>
            <w:hideMark/>
          </w:tcPr>
          <w:p w:rsidR="003C2565" w:rsidRPr="003C2565" w:rsidRDefault="003C2565" w:rsidP="003C2565">
            <w:pPr>
              <w:rPr>
                <w:rFonts w:ascii="Arial" w:hAnsi="Arial" w:cs="Arial"/>
                <w:b/>
                <w:bCs/>
                <w:sz w:val="25"/>
                <w:szCs w:val="25"/>
              </w:rPr>
            </w:pPr>
            <w:r w:rsidRPr="003C2565">
              <w:rPr>
                <w:rFonts w:ascii="Arial" w:hAnsi="Arial" w:cs="Arial"/>
                <w:b/>
                <w:bCs/>
                <w:sz w:val="25"/>
                <w:szCs w:val="25"/>
              </w:rPr>
              <w:t>WAP</w:t>
            </w:r>
          </w:p>
        </w:tc>
        <w:tc>
          <w:tcPr>
            <w:tcW w:w="1170" w:type="dxa"/>
            <w:tcBorders>
              <w:top w:val="single" w:sz="8" w:space="0" w:color="auto"/>
              <w:left w:val="single" w:sz="8" w:space="0" w:color="auto"/>
              <w:bottom w:val="single" w:sz="8" w:space="0" w:color="auto"/>
              <w:right w:val="single" w:sz="8" w:space="0" w:color="auto"/>
            </w:tcBorders>
            <w:shd w:val="clear" w:color="auto" w:fill="DAEEF3"/>
            <w:tcMar>
              <w:top w:w="75" w:type="dxa"/>
              <w:left w:w="150" w:type="dxa"/>
              <w:bottom w:w="75" w:type="dxa"/>
              <w:right w:w="150" w:type="dxa"/>
            </w:tcMar>
            <w:vAlign w:val="center"/>
            <w:hideMark/>
          </w:tcPr>
          <w:p w:rsidR="003C2565" w:rsidRPr="003C2565" w:rsidRDefault="003C2565" w:rsidP="003C2565">
            <w:pPr>
              <w:rPr>
                <w:rFonts w:ascii="Arial" w:hAnsi="Arial" w:cs="Arial"/>
                <w:b/>
                <w:bCs/>
                <w:sz w:val="25"/>
                <w:szCs w:val="25"/>
              </w:rPr>
            </w:pPr>
            <w:r w:rsidRPr="003C2565">
              <w:rPr>
                <w:rFonts w:ascii="Arial" w:hAnsi="Arial" w:cs="Arial"/>
                <w:b/>
                <w:bCs/>
                <w:sz w:val="25"/>
                <w:szCs w:val="25"/>
              </w:rPr>
              <w:t>Day &amp; Look Alike Programs</w:t>
            </w:r>
          </w:p>
        </w:tc>
      </w:tr>
      <w:tr w:rsidR="003C2565" w:rsidRPr="003C2565" w:rsidTr="003C2565">
        <w:trPr>
          <w:trHeight w:val="450"/>
          <w:jc w:val="center"/>
        </w:trPr>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3C2565" w:rsidRPr="003C2565" w:rsidRDefault="003C2565" w:rsidP="003C2565">
            <w:pPr>
              <w:rPr>
                <w:rFonts w:ascii="Arial" w:hAnsi="Arial" w:cs="Arial"/>
                <w:b/>
                <w:bCs/>
                <w:sz w:val="25"/>
                <w:szCs w:val="25"/>
              </w:rPr>
            </w:pPr>
            <w:r w:rsidRPr="003C2565">
              <w:rPr>
                <w:rFonts w:ascii="Arial" w:hAnsi="Arial" w:cs="Arial"/>
                <w:b/>
                <w:bCs/>
                <w:sz w:val="25"/>
                <w:szCs w:val="25"/>
              </w:rPr>
              <w:t>05/06</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3C2565" w:rsidRPr="003C2565" w:rsidRDefault="003C2565" w:rsidP="003C2565">
            <w:pPr>
              <w:rPr>
                <w:rFonts w:ascii="Arial" w:hAnsi="Arial" w:cs="Arial"/>
                <w:b/>
                <w:bCs/>
                <w:sz w:val="25"/>
                <w:szCs w:val="25"/>
              </w:rPr>
            </w:pPr>
            <w:r w:rsidRPr="003C2565">
              <w:rPr>
                <w:rFonts w:ascii="Arial" w:hAnsi="Arial" w:cs="Arial"/>
                <w:b/>
                <w:bCs/>
                <w:sz w:val="25"/>
                <w:szCs w:val="25"/>
              </w:rPr>
              <w:t>4,842</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3C2565" w:rsidRPr="003C2565" w:rsidRDefault="003C2565" w:rsidP="003C2565">
            <w:pPr>
              <w:rPr>
                <w:rFonts w:ascii="Arial" w:hAnsi="Arial" w:cs="Arial"/>
                <w:b/>
                <w:bCs/>
                <w:sz w:val="25"/>
                <w:szCs w:val="25"/>
              </w:rPr>
            </w:pPr>
            <w:r w:rsidRPr="003C2565">
              <w:rPr>
                <w:rFonts w:ascii="Arial" w:hAnsi="Arial" w:cs="Arial"/>
                <w:b/>
                <w:bCs/>
                <w:sz w:val="25"/>
                <w:szCs w:val="25"/>
              </w:rPr>
              <w:t>4,548</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3C2565" w:rsidRPr="003C2565" w:rsidRDefault="003C2565" w:rsidP="003C2565">
            <w:pPr>
              <w:rPr>
                <w:rFonts w:ascii="Arial" w:hAnsi="Arial" w:cs="Arial"/>
                <w:b/>
                <w:bCs/>
                <w:sz w:val="25"/>
                <w:szCs w:val="25"/>
              </w:rPr>
            </w:pPr>
            <w:r w:rsidRPr="003C2565">
              <w:rPr>
                <w:rFonts w:ascii="Arial" w:hAnsi="Arial" w:cs="Arial"/>
                <w:b/>
                <w:bCs/>
                <w:sz w:val="25"/>
                <w:szCs w:val="25"/>
              </w:rPr>
              <w:t>11,988</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3C2565" w:rsidRPr="003C2565" w:rsidRDefault="003C2565" w:rsidP="003C2565">
            <w:pPr>
              <w:rPr>
                <w:rFonts w:ascii="Arial" w:hAnsi="Arial" w:cs="Arial"/>
                <w:b/>
                <w:bCs/>
                <w:sz w:val="25"/>
                <w:szCs w:val="25"/>
              </w:rPr>
            </w:pPr>
            <w:r w:rsidRPr="003C2565">
              <w:rPr>
                <w:rFonts w:ascii="Arial" w:hAnsi="Arial" w:cs="Arial"/>
                <w:b/>
                <w:bCs/>
                <w:sz w:val="25"/>
                <w:szCs w:val="25"/>
              </w:rPr>
              <w:t>44,280</w:t>
            </w:r>
          </w:p>
        </w:tc>
      </w:tr>
      <w:tr w:rsidR="003C2565" w:rsidRPr="003C2565" w:rsidTr="003C2565">
        <w:trPr>
          <w:trHeight w:val="450"/>
          <w:jc w:val="center"/>
        </w:trPr>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3C2565" w:rsidRPr="003C2565" w:rsidRDefault="003C2565" w:rsidP="003C2565">
            <w:pPr>
              <w:rPr>
                <w:rFonts w:ascii="Arial" w:hAnsi="Arial" w:cs="Arial"/>
                <w:b/>
                <w:bCs/>
                <w:sz w:val="25"/>
                <w:szCs w:val="25"/>
              </w:rPr>
            </w:pPr>
            <w:r w:rsidRPr="003C2565">
              <w:rPr>
                <w:rFonts w:ascii="Arial" w:hAnsi="Arial" w:cs="Arial"/>
                <w:b/>
                <w:bCs/>
                <w:sz w:val="25"/>
                <w:szCs w:val="25"/>
              </w:rPr>
              <w:t>06/07</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3C2565" w:rsidRPr="003C2565" w:rsidRDefault="003C2565" w:rsidP="003C2565">
            <w:pPr>
              <w:rPr>
                <w:rFonts w:ascii="Arial" w:hAnsi="Arial" w:cs="Arial"/>
                <w:b/>
                <w:bCs/>
                <w:sz w:val="25"/>
                <w:szCs w:val="25"/>
              </w:rPr>
            </w:pPr>
            <w:r w:rsidRPr="003C2565">
              <w:rPr>
                <w:rFonts w:ascii="Arial" w:hAnsi="Arial" w:cs="Arial"/>
                <w:b/>
                <w:bCs/>
                <w:sz w:val="25"/>
                <w:szCs w:val="25"/>
              </w:rPr>
              <w:t>4,976</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3C2565" w:rsidRPr="003C2565" w:rsidRDefault="003C2565" w:rsidP="003C2565">
            <w:pPr>
              <w:rPr>
                <w:rFonts w:ascii="Arial" w:hAnsi="Arial" w:cs="Arial"/>
                <w:b/>
                <w:bCs/>
                <w:sz w:val="25"/>
                <w:szCs w:val="25"/>
              </w:rPr>
            </w:pPr>
            <w:r w:rsidRPr="003C2565">
              <w:rPr>
                <w:rFonts w:ascii="Arial" w:hAnsi="Arial" w:cs="Arial"/>
                <w:b/>
                <w:bCs/>
                <w:sz w:val="25"/>
                <w:szCs w:val="25"/>
              </w:rPr>
              <w:t>5,264</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3C2565" w:rsidRPr="003C2565" w:rsidRDefault="003C2565" w:rsidP="003C2565">
            <w:pPr>
              <w:rPr>
                <w:rFonts w:ascii="Arial" w:hAnsi="Arial" w:cs="Arial"/>
                <w:b/>
                <w:bCs/>
                <w:sz w:val="25"/>
                <w:szCs w:val="25"/>
              </w:rPr>
            </w:pPr>
            <w:r w:rsidRPr="003C2565">
              <w:rPr>
                <w:rFonts w:ascii="Arial" w:hAnsi="Arial" w:cs="Arial"/>
                <w:b/>
                <w:bCs/>
                <w:sz w:val="25"/>
                <w:szCs w:val="25"/>
              </w:rPr>
              <w:t>11,499</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3C2565" w:rsidRPr="003C2565" w:rsidRDefault="003C2565" w:rsidP="003C2565">
            <w:pPr>
              <w:rPr>
                <w:rFonts w:ascii="Arial" w:hAnsi="Arial" w:cs="Arial"/>
                <w:b/>
                <w:bCs/>
                <w:sz w:val="25"/>
                <w:szCs w:val="25"/>
              </w:rPr>
            </w:pPr>
            <w:r w:rsidRPr="003C2565">
              <w:rPr>
                <w:rFonts w:ascii="Arial" w:hAnsi="Arial" w:cs="Arial"/>
                <w:b/>
                <w:bCs/>
                <w:sz w:val="25"/>
                <w:szCs w:val="25"/>
              </w:rPr>
              <w:t>46,120</w:t>
            </w:r>
          </w:p>
        </w:tc>
      </w:tr>
      <w:tr w:rsidR="003C2565" w:rsidRPr="003C2565" w:rsidTr="003C2565">
        <w:trPr>
          <w:trHeight w:val="450"/>
          <w:jc w:val="center"/>
        </w:trPr>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3C2565" w:rsidRPr="003C2565" w:rsidRDefault="003C2565" w:rsidP="003C2565">
            <w:pPr>
              <w:rPr>
                <w:rFonts w:ascii="Arial" w:hAnsi="Arial" w:cs="Arial"/>
                <w:b/>
                <w:bCs/>
                <w:sz w:val="25"/>
                <w:szCs w:val="25"/>
              </w:rPr>
            </w:pPr>
            <w:r w:rsidRPr="003C2565">
              <w:rPr>
                <w:rFonts w:ascii="Arial" w:hAnsi="Arial" w:cs="Arial"/>
                <w:b/>
                <w:bCs/>
                <w:sz w:val="25"/>
                <w:szCs w:val="25"/>
              </w:rPr>
              <w:t>07/08</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3C2565" w:rsidRPr="003C2565" w:rsidRDefault="003C2565" w:rsidP="003C2565">
            <w:pPr>
              <w:rPr>
                <w:rFonts w:ascii="Arial" w:hAnsi="Arial" w:cs="Arial"/>
                <w:b/>
                <w:bCs/>
                <w:sz w:val="25"/>
                <w:szCs w:val="25"/>
              </w:rPr>
            </w:pPr>
            <w:r w:rsidRPr="003C2565">
              <w:rPr>
                <w:rFonts w:ascii="Arial" w:hAnsi="Arial" w:cs="Arial"/>
                <w:b/>
                <w:bCs/>
                <w:sz w:val="25"/>
                <w:szCs w:val="25"/>
              </w:rPr>
              <w:t>5,004</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3C2565" w:rsidRPr="003C2565" w:rsidRDefault="003C2565" w:rsidP="003C2565">
            <w:pPr>
              <w:rPr>
                <w:rFonts w:ascii="Arial" w:hAnsi="Arial" w:cs="Arial"/>
                <w:b/>
                <w:bCs/>
                <w:sz w:val="25"/>
                <w:szCs w:val="25"/>
              </w:rPr>
            </w:pPr>
            <w:r w:rsidRPr="003C2565">
              <w:rPr>
                <w:rFonts w:ascii="Arial" w:hAnsi="Arial" w:cs="Arial"/>
                <w:b/>
                <w:bCs/>
                <w:sz w:val="25"/>
                <w:szCs w:val="25"/>
              </w:rPr>
              <w:t>5,623</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3C2565" w:rsidRPr="003C2565" w:rsidRDefault="003C2565" w:rsidP="003C2565">
            <w:pPr>
              <w:rPr>
                <w:rFonts w:ascii="Arial" w:hAnsi="Arial" w:cs="Arial"/>
                <w:b/>
                <w:bCs/>
                <w:sz w:val="25"/>
                <w:szCs w:val="25"/>
              </w:rPr>
            </w:pPr>
            <w:r w:rsidRPr="003C2565">
              <w:rPr>
                <w:rFonts w:ascii="Arial" w:hAnsi="Arial" w:cs="Arial"/>
                <w:b/>
                <w:bCs/>
                <w:sz w:val="25"/>
                <w:szCs w:val="25"/>
              </w:rPr>
              <w:t>11,063</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3C2565" w:rsidRPr="003C2565" w:rsidRDefault="003C2565" w:rsidP="003C2565">
            <w:pPr>
              <w:rPr>
                <w:rFonts w:ascii="Arial" w:hAnsi="Arial" w:cs="Arial"/>
                <w:b/>
                <w:bCs/>
                <w:sz w:val="25"/>
                <w:szCs w:val="25"/>
              </w:rPr>
            </w:pPr>
            <w:r w:rsidRPr="003C2565">
              <w:rPr>
                <w:rFonts w:ascii="Arial" w:hAnsi="Arial" w:cs="Arial"/>
                <w:b/>
                <w:bCs/>
                <w:sz w:val="25"/>
                <w:szCs w:val="25"/>
              </w:rPr>
              <w:t>48,290</w:t>
            </w:r>
          </w:p>
        </w:tc>
      </w:tr>
      <w:tr w:rsidR="003C2565" w:rsidRPr="003C2565" w:rsidTr="003C2565">
        <w:trPr>
          <w:trHeight w:val="450"/>
          <w:jc w:val="center"/>
        </w:trPr>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3C2565" w:rsidRPr="003C2565" w:rsidRDefault="003C2565" w:rsidP="003C2565">
            <w:pPr>
              <w:rPr>
                <w:rFonts w:ascii="Arial" w:hAnsi="Arial" w:cs="Arial"/>
                <w:b/>
                <w:bCs/>
                <w:sz w:val="25"/>
                <w:szCs w:val="25"/>
              </w:rPr>
            </w:pPr>
            <w:r w:rsidRPr="003C2565">
              <w:rPr>
                <w:rFonts w:ascii="Arial" w:hAnsi="Arial" w:cs="Arial"/>
                <w:b/>
                <w:bCs/>
                <w:sz w:val="25"/>
                <w:szCs w:val="25"/>
              </w:rPr>
              <w:t>08/09</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3C2565" w:rsidRPr="003C2565" w:rsidRDefault="003C2565" w:rsidP="003C2565">
            <w:pPr>
              <w:rPr>
                <w:rFonts w:ascii="Arial" w:hAnsi="Arial" w:cs="Arial"/>
                <w:b/>
                <w:bCs/>
                <w:sz w:val="25"/>
                <w:szCs w:val="25"/>
              </w:rPr>
            </w:pPr>
            <w:r w:rsidRPr="003C2565">
              <w:rPr>
                <w:rFonts w:ascii="Arial" w:hAnsi="Arial" w:cs="Arial"/>
                <w:b/>
                <w:bCs/>
                <w:sz w:val="25"/>
                <w:szCs w:val="25"/>
              </w:rPr>
              <w:t>5,065</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3C2565" w:rsidRPr="003C2565" w:rsidRDefault="003C2565" w:rsidP="003C2565">
            <w:pPr>
              <w:rPr>
                <w:rFonts w:ascii="Arial" w:hAnsi="Arial" w:cs="Arial"/>
                <w:b/>
                <w:bCs/>
                <w:sz w:val="25"/>
                <w:szCs w:val="25"/>
              </w:rPr>
            </w:pPr>
            <w:r w:rsidRPr="003C2565">
              <w:rPr>
                <w:rFonts w:ascii="Arial" w:hAnsi="Arial" w:cs="Arial"/>
                <w:b/>
                <w:bCs/>
                <w:sz w:val="25"/>
                <w:szCs w:val="25"/>
              </w:rPr>
              <w:t>5,863</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3C2565" w:rsidRPr="003C2565" w:rsidRDefault="003C2565" w:rsidP="003C2565">
            <w:pPr>
              <w:rPr>
                <w:rFonts w:ascii="Arial" w:hAnsi="Arial" w:cs="Arial"/>
                <w:b/>
                <w:bCs/>
                <w:sz w:val="25"/>
                <w:szCs w:val="25"/>
              </w:rPr>
            </w:pPr>
            <w:r w:rsidRPr="003C2565">
              <w:rPr>
                <w:rFonts w:ascii="Arial" w:hAnsi="Arial" w:cs="Arial"/>
                <w:b/>
                <w:bCs/>
                <w:sz w:val="25"/>
                <w:szCs w:val="25"/>
              </w:rPr>
              <w:t>11,110</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3C2565" w:rsidRPr="003C2565" w:rsidRDefault="003C2565" w:rsidP="003C2565">
            <w:pPr>
              <w:rPr>
                <w:rFonts w:ascii="Arial" w:hAnsi="Arial" w:cs="Arial"/>
                <w:b/>
                <w:bCs/>
                <w:sz w:val="25"/>
                <w:szCs w:val="25"/>
              </w:rPr>
            </w:pPr>
            <w:r w:rsidRPr="003C2565">
              <w:rPr>
                <w:rFonts w:ascii="Arial" w:hAnsi="Arial" w:cs="Arial"/>
                <w:b/>
                <w:bCs/>
                <w:sz w:val="25"/>
                <w:szCs w:val="25"/>
              </w:rPr>
              <w:t>51,067</w:t>
            </w:r>
          </w:p>
        </w:tc>
      </w:tr>
      <w:tr w:rsidR="003C2565" w:rsidRPr="003C2565" w:rsidTr="003C2565">
        <w:trPr>
          <w:trHeight w:val="450"/>
          <w:jc w:val="center"/>
        </w:trPr>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3C2565" w:rsidRPr="003C2565" w:rsidRDefault="003C2565" w:rsidP="003C2565">
            <w:pPr>
              <w:rPr>
                <w:rFonts w:ascii="Arial" w:hAnsi="Arial" w:cs="Arial"/>
                <w:b/>
                <w:bCs/>
                <w:sz w:val="25"/>
                <w:szCs w:val="25"/>
              </w:rPr>
            </w:pPr>
            <w:r w:rsidRPr="003C2565">
              <w:rPr>
                <w:rFonts w:ascii="Arial" w:hAnsi="Arial" w:cs="Arial"/>
                <w:b/>
                <w:bCs/>
                <w:sz w:val="25"/>
                <w:szCs w:val="25"/>
              </w:rPr>
              <w:t>09/10</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3C2565" w:rsidRPr="003C2565" w:rsidRDefault="003C2565" w:rsidP="003C2565">
            <w:pPr>
              <w:rPr>
                <w:rFonts w:ascii="Arial" w:hAnsi="Arial" w:cs="Arial"/>
                <w:b/>
                <w:bCs/>
                <w:sz w:val="25"/>
                <w:szCs w:val="25"/>
              </w:rPr>
            </w:pPr>
            <w:r w:rsidRPr="003C2565">
              <w:rPr>
                <w:rFonts w:ascii="Arial" w:hAnsi="Arial" w:cs="Arial"/>
                <w:b/>
                <w:bCs/>
                <w:sz w:val="25"/>
                <w:szCs w:val="25"/>
              </w:rPr>
              <w:t>4,841</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3C2565" w:rsidRPr="003C2565" w:rsidRDefault="003C2565" w:rsidP="003C2565">
            <w:pPr>
              <w:rPr>
                <w:rFonts w:ascii="Arial" w:hAnsi="Arial" w:cs="Arial"/>
                <w:b/>
                <w:bCs/>
                <w:sz w:val="25"/>
                <w:szCs w:val="25"/>
              </w:rPr>
            </w:pPr>
            <w:r w:rsidRPr="003C2565">
              <w:rPr>
                <w:rFonts w:ascii="Arial" w:hAnsi="Arial" w:cs="Arial"/>
                <w:b/>
                <w:bCs/>
                <w:sz w:val="25"/>
                <w:szCs w:val="25"/>
              </w:rPr>
              <w:t>5,903</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3C2565" w:rsidRPr="003C2565" w:rsidRDefault="003C2565" w:rsidP="003C2565">
            <w:pPr>
              <w:rPr>
                <w:rFonts w:ascii="Arial" w:hAnsi="Arial" w:cs="Arial"/>
                <w:b/>
                <w:bCs/>
                <w:sz w:val="25"/>
                <w:szCs w:val="25"/>
              </w:rPr>
            </w:pPr>
            <w:r w:rsidRPr="003C2565">
              <w:rPr>
                <w:rFonts w:ascii="Arial" w:hAnsi="Arial" w:cs="Arial"/>
                <w:b/>
                <w:bCs/>
                <w:sz w:val="25"/>
                <w:szCs w:val="25"/>
              </w:rPr>
              <w:t>10,826</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3C2565" w:rsidRPr="003C2565" w:rsidRDefault="003C2565" w:rsidP="003C2565">
            <w:pPr>
              <w:rPr>
                <w:rFonts w:ascii="Arial" w:hAnsi="Arial" w:cs="Arial"/>
                <w:b/>
                <w:bCs/>
                <w:sz w:val="25"/>
                <w:szCs w:val="25"/>
              </w:rPr>
            </w:pPr>
            <w:r w:rsidRPr="003C2565">
              <w:rPr>
                <w:rFonts w:ascii="Arial" w:hAnsi="Arial" w:cs="Arial"/>
                <w:b/>
                <w:bCs/>
                <w:sz w:val="25"/>
                <w:szCs w:val="25"/>
              </w:rPr>
              <w:t>53,056</w:t>
            </w:r>
          </w:p>
        </w:tc>
      </w:tr>
      <w:tr w:rsidR="003C2565" w:rsidRPr="003C2565" w:rsidTr="003C2565">
        <w:trPr>
          <w:trHeight w:val="450"/>
          <w:jc w:val="center"/>
        </w:trPr>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3C2565" w:rsidRPr="003C2565" w:rsidRDefault="003C2565" w:rsidP="003C2565">
            <w:pPr>
              <w:rPr>
                <w:rFonts w:ascii="Arial" w:hAnsi="Arial" w:cs="Arial"/>
                <w:b/>
                <w:bCs/>
                <w:sz w:val="25"/>
                <w:szCs w:val="25"/>
              </w:rPr>
            </w:pPr>
            <w:r w:rsidRPr="003C2565">
              <w:rPr>
                <w:rFonts w:ascii="Arial" w:hAnsi="Arial" w:cs="Arial"/>
                <w:b/>
                <w:bCs/>
                <w:sz w:val="25"/>
                <w:szCs w:val="25"/>
              </w:rPr>
              <w:t>10/11</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3C2565" w:rsidRPr="003C2565" w:rsidRDefault="003C2565" w:rsidP="003C2565">
            <w:pPr>
              <w:rPr>
                <w:rFonts w:ascii="Arial" w:hAnsi="Arial" w:cs="Arial"/>
                <w:b/>
                <w:bCs/>
                <w:sz w:val="25"/>
                <w:szCs w:val="25"/>
              </w:rPr>
            </w:pPr>
            <w:r w:rsidRPr="003C2565">
              <w:rPr>
                <w:rFonts w:ascii="Arial" w:hAnsi="Arial" w:cs="Arial"/>
                <w:b/>
                <w:bCs/>
                <w:sz w:val="25"/>
                <w:szCs w:val="25"/>
              </w:rPr>
              <w:t>4,684</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3C2565" w:rsidRPr="003C2565" w:rsidRDefault="003C2565" w:rsidP="003C2565">
            <w:pPr>
              <w:rPr>
                <w:rFonts w:ascii="Arial" w:hAnsi="Arial" w:cs="Arial"/>
                <w:b/>
                <w:bCs/>
                <w:sz w:val="25"/>
                <w:szCs w:val="25"/>
              </w:rPr>
            </w:pPr>
            <w:r w:rsidRPr="003C2565">
              <w:rPr>
                <w:rFonts w:ascii="Arial" w:hAnsi="Arial" w:cs="Arial"/>
                <w:b/>
                <w:bCs/>
                <w:sz w:val="25"/>
                <w:szCs w:val="25"/>
              </w:rPr>
              <w:t>5,932</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3C2565" w:rsidRPr="003C2565" w:rsidRDefault="003C2565" w:rsidP="003C2565">
            <w:pPr>
              <w:rPr>
                <w:rFonts w:ascii="Arial" w:hAnsi="Arial" w:cs="Arial"/>
                <w:b/>
                <w:bCs/>
                <w:sz w:val="25"/>
                <w:szCs w:val="25"/>
              </w:rPr>
            </w:pPr>
            <w:r w:rsidRPr="003C2565">
              <w:rPr>
                <w:rFonts w:ascii="Arial" w:hAnsi="Arial" w:cs="Arial"/>
                <w:b/>
                <w:bCs/>
                <w:sz w:val="25"/>
                <w:szCs w:val="25"/>
              </w:rPr>
              <w:t>10,610</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3C2565" w:rsidRPr="003C2565" w:rsidRDefault="003C2565" w:rsidP="003C2565">
            <w:pPr>
              <w:rPr>
                <w:rFonts w:ascii="Arial" w:hAnsi="Arial" w:cs="Arial"/>
                <w:b/>
                <w:bCs/>
                <w:sz w:val="25"/>
                <w:szCs w:val="25"/>
              </w:rPr>
            </w:pPr>
            <w:r w:rsidRPr="003C2565">
              <w:rPr>
                <w:rFonts w:ascii="Arial" w:hAnsi="Arial" w:cs="Arial"/>
                <w:b/>
                <w:bCs/>
                <w:sz w:val="25"/>
                <w:szCs w:val="25"/>
              </w:rPr>
              <w:t>54,387</w:t>
            </w:r>
          </w:p>
        </w:tc>
      </w:tr>
      <w:tr w:rsidR="003C2565" w:rsidRPr="003C2565" w:rsidTr="003C2565">
        <w:trPr>
          <w:trHeight w:val="450"/>
          <w:jc w:val="center"/>
        </w:trPr>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3C2565" w:rsidRPr="003C2565" w:rsidRDefault="003C2565" w:rsidP="003C2565">
            <w:pPr>
              <w:rPr>
                <w:rFonts w:ascii="Arial" w:hAnsi="Arial" w:cs="Arial"/>
                <w:b/>
                <w:bCs/>
                <w:sz w:val="25"/>
                <w:szCs w:val="25"/>
              </w:rPr>
            </w:pPr>
            <w:r w:rsidRPr="003C2565">
              <w:rPr>
                <w:rFonts w:ascii="Arial" w:hAnsi="Arial" w:cs="Arial"/>
                <w:b/>
                <w:bCs/>
                <w:sz w:val="25"/>
                <w:szCs w:val="25"/>
              </w:rPr>
              <w:t>11/12</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3C2565" w:rsidRPr="003C2565" w:rsidRDefault="003C2565" w:rsidP="003C2565">
            <w:pPr>
              <w:rPr>
                <w:rFonts w:ascii="Arial" w:hAnsi="Arial" w:cs="Arial"/>
                <w:b/>
                <w:bCs/>
                <w:sz w:val="25"/>
                <w:szCs w:val="25"/>
              </w:rPr>
            </w:pPr>
            <w:r w:rsidRPr="003C2565">
              <w:rPr>
                <w:rFonts w:ascii="Arial" w:hAnsi="Arial" w:cs="Arial"/>
                <w:b/>
                <w:bCs/>
                <w:sz w:val="25"/>
                <w:szCs w:val="25"/>
              </w:rPr>
              <w:t>4,505</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3C2565" w:rsidRPr="003C2565" w:rsidRDefault="003C2565" w:rsidP="003C2565">
            <w:pPr>
              <w:rPr>
                <w:rFonts w:ascii="Arial" w:hAnsi="Arial" w:cs="Arial"/>
                <w:b/>
                <w:bCs/>
                <w:sz w:val="25"/>
                <w:szCs w:val="25"/>
              </w:rPr>
            </w:pPr>
            <w:r w:rsidRPr="003C2565">
              <w:rPr>
                <w:rFonts w:ascii="Arial" w:hAnsi="Arial" w:cs="Arial"/>
                <w:b/>
                <w:bCs/>
                <w:sz w:val="25"/>
                <w:szCs w:val="25"/>
              </w:rPr>
              <w:t>5,425</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3C2565" w:rsidRPr="003C2565" w:rsidRDefault="003C2565" w:rsidP="003C2565">
            <w:pPr>
              <w:rPr>
                <w:rFonts w:ascii="Arial" w:hAnsi="Arial" w:cs="Arial"/>
                <w:b/>
                <w:bCs/>
                <w:sz w:val="25"/>
                <w:szCs w:val="25"/>
              </w:rPr>
            </w:pPr>
            <w:r w:rsidRPr="003C2565">
              <w:rPr>
                <w:rFonts w:ascii="Arial" w:hAnsi="Arial" w:cs="Arial"/>
                <w:b/>
                <w:bCs/>
                <w:sz w:val="25"/>
                <w:szCs w:val="25"/>
              </w:rPr>
              <w:t>10,293</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3C2565" w:rsidRPr="003C2565" w:rsidRDefault="003C2565" w:rsidP="003C2565">
            <w:pPr>
              <w:rPr>
                <w:rFonts w:ascii="Arial" w:hAnsi="Arial" w:cs="Arial"/>
                <w:b/>
                <w:bCs/>
                <w:sz w:val="25"/>
                <w:szCs w:val="25"/>
              </w:rPr>
            </w:pPr>
            <w:r w:rsidRPr="003C2565">
              <w:rPr>
                <w:rFonts w:ascii="Arial" w:hAnsi="Arial" w:cs="Arial"/>
                <w:b/>
                <w:bCs/>
                <w:sz w:val="25"/>
                <w:szCs w:val="25"/>
              </w:rPr>
              <w:t>56,749</w:t>
            </w:r>
          </w:p>
        </w:tc>
      </w:tr>
      <w:tr w:rsidR="00E155FE" w:rsidRPr="003C2565" w:rsidTr="003C2565">
        <w:trPr>
          <w:trHeight w:val="450"/>
          <w:jc w:val="center"/>
        </w:trPr>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tcPr>
          <w:p w:rsidR="00E155FE" w:rsidRPr="003C2565" w:rsidRDefault="00E155FE" w:rsidP="003C2565">
            <w:pPr>
              <w:rPr>
                <w:rFonts w:ascii="Arial" w:hAnsi="Arial" w:cs="Arial"/>
                <w:b/>
                <w:bCs/>
                <w:sz w:val="25"/>
                <w:szCs w:val="25"/>
              </w:rPr>
            </w:pPr>
            <w:r>
              <w:rPr>
                <w:rFonts w:ascii="Arial" w:hAnsi="Arial" w:cs="Arial"/>
                <w:b/>
                <w:bCs/>
                <w:sz w:val="25"/>
                <w:szCs w:val="25"/>
              </w:rPr>
              <w:t>12/13</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tcPr>
          <w:p w:rsidR="00E155FE" w:rsidRPr="003C2565" w:rsidRDefault="00E155FE" w:rsidP="003C2565">
            <w:pPr>
              <w:rPr>
                <w:rFonts w:ascii="Arial" w:hAnsi="Arial" w:cs="Arial"/>
                <w:b/>
                <w:bCs/>
                <w:sz w:val="25"/>
                <w:szCs w:val="25"/>
              </w:rPr>
            </w:pPr>
            <w:r>
              <w:rPr>
                <w:rFonts w:ascii="Arial" w:hAnsi="Arial" w:cs="Arial"/>
                <w:b/>
                <w:bCs/>
                <w:sz w:val="25"/>
                <w:szCs w:val="25"/>
              </w:rPr>
              <w:t>4,341</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tcPr>
          <w:p w:rsidR="00E155FE" w:rsidRPr="003C2565" w:rsidRDefault="00E155FE" w:rsidP="003C2565">
            <w:pPr>
              <w:rPr>
                <w:rFonts w:ascii="Arial" w:hAnsi="Arial" w:cs="Arial"/>
                <w:b/>
                <w:bCs/>
                <w:sz w:val="25"/>
                <w:szCs w:val="25"/>
              </w:rPr>
            </w:pPr>
            <w:r>
              <w:rPr>
                <w:rFonts w:ascii="Arial" w:hAnsi="Arial" w:cs="Arial"/>
                <w:b/>
                <w:bCs/>
                <w:sz w:val="25"/>
                <w:szCs w:val="25"/>
              </w:rPr>
              <w:t>5,589</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tcPr>
          <w:p w:rsidR="00E155FE" w:rsidRPr="003C2565" w:rsidRDefault="00E155FE" w:rsidP="003C2565">
            <w:pPr>
              <w:rPr>
                <w:rFonts w:ascii="Arial" w:hAnsi="Arial" w:cs="Arial"/>
                <w:b/>
                <w:bCs/>
                <w:sz w:val="25"/>
                <w:szCs w:val="25"/>
              </w:rPr>
            </w:pPr>
            <w:r>
              <w:rPr>
                <w:rFonts w:ascii="Arial" w:hAnsi="Arial" w:cs="Arial"/>
                <w:b/>
                <w:bCs/>
                <w:sz w:val="25"/>
                <w:szCs w:val="25"/>
              </w:rPr>
              <w:t>10,242</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tcPr>
          <w:p w:rsidR="00E155FE" w:rsidRPr="003C2565" w:rsidRDefault="00E155FE" w:rsidP="003C2565">
            <w:pPr>
              <w:rPr>
                <w:rFonts w:ascii="Arial" w:hAnsi="Arial" w:cs="Arial"/>
                <w:b/>
                <w:bCs/>
                <w:sz w:val="25"/>
                <w:szCs w:val="25"/>
              </w:rPr>
            </w:pPr>
            <w:r>
              <w:rPr>
                <w:rFonts w:ascii="Arial" w:hAnsi="Arial" w:cs="Arial"/>
                <w:b/>
                <w:bCs/>
                <w:sz w:val="25"/>
                <w:szCs w:val="25"/>
              </w:rPr>
              <w:t>59,661</w:t>
            </w:r>
          </w:p>
        </w:tc>
      </w:tr>
    </w:tbl>
    <w:p w:rsidR="003C2565" w:rsidRDefault="003C2565" w:rsidP="003C2565">
      <w:pPr>
        <w:rPr>
          <w:rFonts w:ascii="Arial" w:hAnsi="Arial" w:cs="Arial"/>
          <w:sz w:val="25"/>
          <w:szCs w:val="25"/>
          <w:lang w:val="en"/>
        </w:rPr>
      </w:pPr>
    </w:p>
    <w:p w:rsidR="003C2565" w:rsidRDefault="003C2565" w:rsidP="003C2565">
      <w:pPr>
        <w:rPr>
          <w:rFonts w:ascii="Arial" w:hAnsi="Arial" w:cs="Arial"/>
          <w:sz w:val="25"/>
          <w:szCs w:val="25"/>
          <w:lang w:val="en"/>
        </w:rPr>
      </w:pPr>
    </w:p>
    <w:p w:rsidR="003C2565" w:rsidRDefault="003C2565" w:rsidP="003C2565">
      <w:pPr>
        <w:rPr>
          <w:rFonts w:ascii="Arial" w:hAnsi="Arial" w:cs="Arial"/>
          <w:sz w:val="25"/>
          <w:szCs w:val="25"/>
          <w:lang w:val="en"/>
        </w:rPr>
      </w:pPr>
    </w:p>
    <w:p w:rsidR="003C2565" w:rsidRDefault="003C2565" w:rsidP="003C2565">
      <w:pPr>
        <w:rPr>
          <w:rFonts w:ascii="Arial" w:hAnsi="Arial" w:cs="Arial"/>
          <w:sz w:val="25"/>
          <w:szCs w:val="25"/>
          <w:lang w:val="en"/>
        </w:rPr>
      </w:pPr>
    </w:p>
    <w:p w:rsidR="003C2565" w:rsidRDefault="003C2565" w:rsidP="003C2565">
      <w:pPr>
        <w:rPr>
          <w:rFonts w:ascii="Arial" w:hAnsi="Arial" w:cs="Arial"/>
          <w:sz w:val="25"/>
          <w:szCs w:val="25"/>
          <w:lang w:val="en"/>
        </w:rPr>
      </w:pPr>
    </w:p>
    <w:p w:rsidR="003C2565" w:rsidRPr="003C2565" w:rsidRDefault="003C2565" w:rsidP="003C2565">
      <w:pPr>
        <w:rPr>
          <w:rFonts w:ascii="Arial" w:hAnsi="Arial" w:cs="Arial"/>
          <w:sz w:val="25"/>
          <w:szCs w:val="25"/>
          <w:lang w:val="en"/>
        </w:rPr>
      </w:pPr>
    </w:p>
    <w:p w:rsidR="00215F5F" w:rsidRDefault="00215F5F" w:rsidP="003C2565">
      <w:pPr>
        <w:rPr>
          <w:rFonts w:ascii="Arial" w:hAnsi="Arial" w:cs="Arial"/>
          <w:sz w:val="25"/>
          <w:szCs w:val="25"/>
          <w:lang w:val="en"/>
        </w:rPr>
      </w:pPr>
    </w:p>
    <w:p w:rsidR="00215F5F" w:rsidRDefault="00215F5F" w:rsidP="003C2565">
      <w:pPr>
        <w:rPr>
          <w:rFonts w:ascii="Arial" w:hAnsi="Arial" w:cs="Arial"/>
          <w:sz w:val="25"/>
          <w:szCs w:val="25"/>
          <w:lang w:val="en"/>
        </w:rPr>
      </w:pPr>
    </w:p>
    <w:p w:rsidR="003C2565" w:rsidRPr="003C2565" w:rsidRDefault="003C2565" w:rsidP="003C2565">
      <w:pPr>
        <w:rPr>
          <w:rFonts w:ascii="Arial" w:hAnsi="Arial" w:cs="Arial"/>
          <w:sz w:val="25"/>
          <w:szCs w:val="25"/>
          <w:lang w:val="en"/>
        </w:rPr>
      </w:pPr>
      <w:r w:rsidRPr="003C2565">
        <w:rPr>
          <w:rFonts w:ascii="Arial" w:hAnsi="Arial" w:cs="Arial"/>
          <w:sz w:val="25"/>
          <w:szCs w:val="25"/>
          <w:lang w:val="en"/>
        </w:rPr>
        <w:t>This page displays the data three ways:</w:t>
      </w:r>
    </w:p>
    <w:p w:rsidR="003C2565" w:rsidRPr="003C2565" w:rsidRDefault="003C2565" w:rsidP="003C2565">
      <w:pPr>
        <w:rPr>
          <w:rFonts w:ascii="Arial" w:hAnsi="Arial" w:cs="Arial"/>
          <w:sz w:val="25"/>
          <w:szCs w:val="25"/>
          <w:lang w:val="en"/>
        </w:rPr>
      </w:pPr>
    </w:p>
    <w:p w:rsidR="003C2565" w:rsidRPr="003C2565" w:rsidRDefault="003C2565" w:rsidP="003C2565">
      <w:pPr>
        <w:numPr>
          <w:ilvl w:val="0"/>
          <w:numId w:val="1"/>
        </w:numPr>
        <w:rPr>
          <w:rFonts w:ascii="Arial" w:hAnsi="Arial" w:cs="Arial"/>
          <w:sz w:val="25"/>
          <w:szCs w:val="25"/>
          <w:lang w:val="en"/>
        </w:rPr>
      </w:pPr>
      <w:r w:rsidRPr="003C2565">
        <w:rPr>
          <w:rFonts w:ascii="Arial" w:hAnsi="Arial" w:cs="Arial"/>
          <w:sz w:val="25"/>
          <w:szCs w:val="25"/>
          <w:lang w:val="en"/>
        </w:rPr>
        <w:t xml:space="preserve">The table above shows the numbers over the past three years. </w:t>
      </w:r>
    </w:p>
    <w:p w:rsidR="003C2565" w:rsidRPr="003C2565" w:rsidRDefault="003C2565" w:rsidP="003C2565">
      <w:pPr>
        <w:numPr>
          <w:ilvl w:val="0"/>
          <w:numId w:val="1"/>
        </w:numPr>
        <w:rPr>
          <w:rFonts w:ascii="Arial" w:hAnsi="Arial" w:cs="Arial"/>
          <w:sz w:val="25"/>
          <w:szCs w:val="25"/>
          <w:lang w:val="en"/>
        </w:rPr>
      </w:pPr>
      <w:r w:rsidRPr="003C2565">
        <w:rPr>
          <w:rFonts w:ascii="Arial" w:hAnsi="Arial" w:cs="Arial"/>
          <w:sz w:val="25"/>
          <w:szCs w:val="25"/>
          <w:lang w:val="en"/>
        </w:rPr>
        <w:t xml:space="preserve">The bar chart below shows how many people are in each service type, with the integrated employment options being a relatively small number at the bottom. </w:t>
      </w:r>
    </w:p>
    <w:p w:rsidR="003C2565" w:rsidRDefault="003C2565" w:rsidP="003C2565">
      <w:pPr>
        <w:numPr>
          <w:ilvl w:val="0"/>
          <w:numId w:val="1"/>
        </w:numPr>
        <w:rPr>
          <w:rFonts w:ascii="Arial" w:hAnsi="Arial" w:cs="Arial"/>
          <w:sz w:val="25"/>
          <w:szCs w:val="25"/>
          <w:lang w:val="en"/>
        </w:rPr>
      </w:pPr>
      <w:r w:rsidRPr="003C2565">
        <w:rPr>
          <w:rFonts w:ascii="Arial" w:hAnsi="Arial" w:cs="Arial"/>
          <w:sz w:val="25"/>
          <w:szCs w:val="25"/>
          <w:lang w:val="en"/>
        </w:rPr>
        <w:t xml:space="preserve">The line chart below shows that integrated employment options are not going up, sheltered work is going down slowly, and day and look alike programs are increasing rapidly. Therefore, all the growth in working age day services is being absorbed by day and look alike programs. </w:t>
      </w:r>
    </w:p>
    <w:p w:rsidR="003C2565" w:rsidRDefault="003C2565" w:rsidP="003C2565">
      <w:pPr>
        <w:ind w:left="720"/>
        <w:rPr>
          <w:rFonts w:ascii="Arial" w:hAnsi="Arial" w:cs="Arial"/>
          <w:sz w:val="25"/>
          <w:szCs w:val="25"/>
          <w:lang w:val="en"/>
        </w:rPr>
      </w:pPr>
    </w:p>
    <w:p w:rsidR="003C2565" w:rsidRPr="003C2565" w:rsidRDefault="00863D0C" w:rsidP="003C2565">
      <w:pPr>
        <w:ind w:left="720"/>
        <w:rPr>
          <w:rFonts w:ascii="Arial" w:hAnsi="Arial" w:cs="Arial"/>
          <w:sz w:val="25"/>
          <w:szCs w:val="25"/>
          <w:lang w:val="en"/>
        </w:rPr>
      </w:pPr>
      <w:r>
        <w:rPr>
          <w:rFonts w:ascii="Arial" w:hAnsi="Arial" w:cs="Arial"/>
          <w:noProof/>
          <w:sz w:val="25"/>
          <w:szCs w:val="25"/>
        </w:rPr>
        <w:drawing>
          <wp:inline distT="0" distB="0" distL="0" distR="0">
            <wp:extent cx="5943600" cy="3394710"/>
            <wp:effectExtent l="0" t="0" r="0" b="0"/>
            <wp:docPr id="1" name="Picture 1" descr="Bar graph and line graph that illustrates the the number of people employed in various programs (Supported Employment Individual, Supported Employment Group, WAP, Day and Look Alike Program) between 2005- 2013" title="Where People ae servied Bar and line grap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_People_R_Served_Combined_05-1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394710"/>
                    </a:xfrm>
                    <a:prstGeom prst="rect">
                      <a:avLst/>
                    </a:prstGeom>
                  </pic:spPr>
                </pic:pic>
              </a:graphicData>
            </a:graphic>
          </wp:inline>
        </w:drawing>
      </w:r>
    </w:p>
    <w:p w:rsidR="003C2565" w:rsidRPr="003C2565" w:rsidRDefault="003C2565" w:rsidP="003C2565">
      <w:pPr>
        <w:rPr>
          <w:rFonts w:ascii="Arial" w:hAnsi="Arial" w:cs="Arial"/>
          <w:sz w:val="25"/>
          <w:szCs w:val="25"/>
          <w:lang w:val="en"/>
        </w:rPr>
      </w:pPr>
    </w:p>
    <w:p w:rsidR="00215F5F" w:rsidRDefault="00215F5F" w:rsidP="003C2565">
      <w:pPr>
        <w:rPr>
          <w:rFonts w:ascii="Arial" w:hAnsi="Arial" w:cs="Arial"/>
          <w:sz w:val="25"/>
          <w:szCs w:val="25"/>
          <w:lang w:val="en"/>
        </w:rPr>
      </w:pPr>
    </w:p>
    <w:p w:rsidR="00215F5F" w:rsidRDefault="00215F5F" w:rsidP="003C2565">
      <w:pPr>
        <w:rPr>
          <w:rFonts w:ascii="Arial" w:hAnsi="Arial" w:cs="Arial"/>
          <w:sz w:val="25"/>
          <w:szCs w:val="25"/>
          <w:lang w:val="en"/>
        </w:rPr>
      </w:pPr>
    </w:p>
    <w:p w:rsidR="003C2565" w:rsidRPr="003C2565" w:rsidRDefault="00DE1DD0" w:rsidP="003C2565">
      <w:pPr>
        <w:rPr>
          <w:rFonts w:ascii="Arial" w:hAnsi="Arial" w:cs="Arial"/>
          <w:sz w:val="25"/>
          <w:szCs w:val="25"/>
          <w:lang w:val="en"/>
        </w:rPr>
      </w:pPr>
      <w:r>
        <w:rPr>
          <w:rFonts w:ascii="Arial" w:hAnsi="Arial" w:cs="Arial"/>
          <w:sz w:val="25"/>
          <w:szCs w:val="25"/>
          <w:lang w:val="en"/>
        </w:rPr>
        <w:pict>
          <v:rect id="_x0000_i1025" style="width:0;height:1.5pt" o:hralign="center" o:hrstd="t" o:hr="t" fillcolor="gray" stroked="f"/>
        </w:pict>
      </w:r>
    </w:p>
    <w:p w:rsidR="003C2565" w:rsidRPr="003C2565" w:rsidRDefault="003C2565" w:rsidP="003C2565">
      <w:pPr>
        <w:rPr>
          <w:rFonts w:ascii="Arial" w:hAnsi="Arial" w:cs="Arial"/>
          <w:sz w:val="25"/>
          <w:szCs w:val="25"/>
          <w:lang w:val="en"/>
        </w:rPr>
      </w:pPr>
      <w:r w:rsidRPr="002C34F4">
        <w:rPr>
          <w:rStyle w:val="Heading2Char"/>
        </w:rPr>
        <w:t>DATA SOURCE:</w:t>
      </w:r>
      <w:r w:rsidR="007B370A">
        <w:rPr>
          <w:rStyle w:val="Heading2Char"/>
        </w:rPr>
        <w:t xml:space="preserve"> Footnote</w:t>
      </w:r>
      <w:r w:rsidRPr="002C34F4">
        <w:rPr>
          <w:rStyle w:val="Heading2Char"/>
        </w:rPr>
        <w:t xml:space="preserve"> DDS Purchase of Service (POS) system Hab Transition with</w:t>
      </w:r>
      <w:r w:rsidR="007B370A">
        <w:rPr>
          <w:rStyle w:val="Heading2Char"/>
        </w:rPr>
        <w:t xml:space="preserve"> Synthetic Waiver FY 05/06-07/08, and Habilitation transition 08/09-12/13. End of Footnote</w:t>
      </w:r>
    </w:p>
    <w:p w:rsidR="003C2565" w:rsidRPr="003C2565" w:rsidRDefault="00DE1DD0" w:rsidP="003C2565">
      <w:pPr>
        <w:rPr>
          <w:rFonts w:ascii="Arial" w:hAnsi="Arial" w:cs="Arial"/>
          <w:sz w:val="25"/>
          <w:szCs w:val="25"/>
          <w:lang w:val="en"/>
        </w:rPr>
      </w:pPr>
      <w:r>
        <w:rPr>
          <w:rFonts w:ascii="Arial" w:hAnsi="Arial" w:cs="Arial"/>
          <w:sz w:val="25"/>
          <w:szCs w:val="25"/>
          <w:lang w:val="en"/>
        </w:rPr>
        <w:pict>
          <v:rect id="_x0000_i1026" style="width:0;height:1.5pt" o:hralign="center" o:hrstd="t" o:hr="t" fillcolor="gray" stroked="f"/>
        </w:pict>
      </w:r>
    </w:p>
    <w:p w:rsidR="003D2FBB" w:rsidRPr="003C2565" w:rsidRDefault="003C2565">
      <w:pPr>
        <w:rPr>
          <w:rFonts w:ascii="Arial" w:hAnsi="Arial" w:cs="Arial"/>
          <w:sz w:val="25"/>
          <w:szCs w:val="25"/>
        </w:rPr>
      </w:pPr>
      <w:r w:rsidRPr="003C2565">
        <w:rPr>
          <w:rFonts w:ascii="Arial" w:hAnsi="Arial" w:cs="Arial"/>
          <w:sz w:val="25"/>
          <w:szCs w:val="25"/>
          <w:lang w:val="en"/>
        </w:rPr>
        <w:br/>
      </w:r>
    </w:p>
    <w:sectPr w:rsidR="003D2FBB" w:rsidRPr="003C2565" w:rsidSect="003C2565">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96AAB"/>
    <w:multiLevelType w:val="multilevel"/>
    <w:tmpl w:val="C0F6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8A4C37"/>
    <w:multiLevelType w:val="multilevel"/>
    <w:tmpl w:val="573E7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565"/>
    <w:rsid w:val="001649AA"/>
    <w:rsid w:val="00194EFA"/>
    <w:rsid w:val="00215F5F"/>
    <w:rsid w:val="002C34F4"/>
    <w:rsid w:val="003768A3"/>
    <w:rsid w:val="003C2565"/>
    <w:rsid w:val="003D2FBB"/>
    <w:rsid w:val="00484128"/>
    <w:rsid w:val="005E1E3F"/>
    <w:rsid w:val="0074029D"/>
    <w:rsid w:val="007B370A"/>
    <w:rsid w:val="00815AA9"/>
    <w:rsid w:val="00863D0C"/>
    <w:rsid w:val="009C1594"/>
    <w:rsid w:val="00D162F5"/>
    <w:rsid w:val="00DC6E3B"/>
    <w:rsid w:val="00DE1DD0"/>
    <w:rsid w:val="00E15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AFEB7C-485D-4B92-9D01-5FEDFEC7E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4128"/>
    <w:pPr>
      <w:keepNext/>
      <w:keepLines/>
      <w:spacing w:before="480"/>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2C34F4"/>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C34F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565"/>
    <w:rPr>
      <w:color w:val="0000FF" w:themeColor="hyperlink"/>
      <w:u w:val="single"/>
    </w:rPr>
  </w:style>
  <w:style w:type="paragraph" w:styleId="BalloonText">
    <w:name w:val="Balloon Text"/>
    <w:basedOn w:val="Normal"/>
    <w:link w:val="BalloonTextChar"/>
    <w:uiPriority w:val="99"/>
    <w:semiHidden/>
    <w:unhideWhenUsed/>
    <w:rsid w:val="003C2565"/>
    <w:rPr>
      <w:rFonts w:ascii="Tahoma" w:hAnsi="Tahoma" w:cs="Tahoma"/>
      <w:sz w:val="16"/>
      <w:szCs w:val="16"/>
    </w:rPr>
  </w:style>
  <w:style w:type="character" w:customStyle="1" w:styleId="BalloonTextChar">
    <w:name w:val="Balloon Text Char"/>
    <w:basedOn w:val="DefaultParagraphFont"/>
    <w:link w:val="BalloonText"/>
    <w:uiPriority w:val="99"/>
    <w:semiHidden/>
    <w:rsid w:val="003C2565"/>
    <w:rPr>
      <w:rFonts w:ascii="Tahoma" w:hAnsi="Tahoma" w:cs="Tahoma"/>
      <w:sz w:val="16"/>
      <w:szCs w:val="16"/>
    </w:rPr>
  </w:style>
  <w:style w:type="character" w:customStyle="1" w:styleId="Heading1Char">
    <w:name w:val="Heading 1 Char"/>
    <w:basedOn w:val="DefaultParagraphFont"/>
    <w:link w:val="Heading1"/>
    <w:uiPriority w:val="9"/>
    <w:rsid w:val="00484128"/>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2C34F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C34F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184216">
      <w:bodyDiv w:val="1"/>
      <w:marLeft w:val="0"/>
      <w:marRight w:val="0"/>
      <w:marTop w:val="0"/>
      <w:marBottom w:val="0"/>
      <w:divBdr>
        <w:top w:val="none" w:sz="0" w:space="0" w:color="auto"/>
        <w:left w:val="none" w:sz="0" w:space="0" w:color="auto"/>
        <w:bottom w:val="none" w:sz="0" w:space="0" w:color="auto"/>
        <w:right w:val="none" w:sz="0" w:space="0" w:color="auto"/>
      </w:divBdr>
      <w:divsChild>
        <w:div w:id="1437483254">
          <w:marLeft w:val="0"/>
          <w:marRight w:val="0"/>
          <w:marTop w:val="0"/>
          <w:marBottom w:val="0"/>
          <w:divBdr>
            <w:top w:val="none" w:sz="0" w:space="0" w:color="auto"/>
            <w:left w:val="none" w:sz="0" w:space="0" w:color="auto"/>
            <w:bottom w:val="none" w:sz="0" w:space="0" w:color="auto"/>
            <w:right w:val="none" w:sz="0" w:space="0" w:color="auto"/>
          </w:divBdr>
          <w:divsChild>
            <w:div w:id="1967275014">
              <w:marLeft w:val="0"/>
              <w:marRight w:val="0"/>
              <w:marTop w:val="0"/>
              <w:marBottom w:val="0"/>
              <w:divBdr>
                <w:top w:val="none" w:sz="0" w:space="0" w:color="auto"/>
                <w:left w:val="none" w:sz="0" w:space="0" w:color="auto"/>
                <w:bottom w:val="none" w:sz="0" w:space="0" w:color="auto"/>
                <w:right w:val="none" w:sz="0" w:space="0" w:color="auto"/>
              </w:divBdr>
              <w:divsChild>
                <w:div w:id="612130022">
                  <w:marLeft w:val="0"/>
                  <w:marRight w:val="0"/>
                  <w:marTop w:val="0"/>
                  <w:marBottom w:val="0"/>
                  <w:divBdr>
                    <w:top w:val="none" w:sz="0" w:space="0" w:color="auto"/>
                    <w:left w:val="none" w:sz="0" w:space="0" w:color="auto"/>
                    <w:bottom w:val="none" w:sz="0" w:space="0" w:color="auto"/>
                    <w:right w:val="none" w:sz="0" w:space="0" w:color="auto"/>
                  </w:divBdr>
                  <w:divsChild>
                    <w:div w:id="1760517093">
                      <w:blockQuote w:val="1"/>
                      <w:marLeft w:val="720"/>
                      <w:marRight w:val="0"/>
                      <w:marTop w:val="100"/>
                      <w:marBottom w:val="100"/>
                      <w:divBdr>
                        <w:top w:val="none" w:sz="0" w:space="0" w:color="auto"/>
                        <w:left w:val="none" w:sz="0" w:space="0" w:color="auto"/>
                        <w:bottom w:val="none" w:sz="0" w:space="0" w:color="auto"/>
                        <w:right w:val="none" w:sz="0" w:space="0" w:color="auto"/>
                      </w:divBdr>
                    </w:div>
                    <w:div w:id="2143108985">
                      <w:marLeft w:val="0"/>
                      <w:marRight w:val="0"/>
                      <w:marTop w:val="0"/>
                      <w:marBottom w:val="0"/>
                      <w:divBdr>
                        <w:top w:val="none" w:sz="0" w:space="0" w:color="auto"/>
                        <w:left w:val="none" w:sz="0" w:space="0" w:color="auto"/>
                        <w:bottom w:val="none" w:sz="0" w:space="0" w:color="auto"/>
                        <w:right w:val="none" w:sz="0" w:space="0" w:color="auto"/>
                      </w:divBdr>
                      <w:divsChild>
                        <w:div w:id="1804732813">
                          <w:marLeft w:val="0"/>
                          <w:marRight w:val="0"/>
                          <w:marTop w:val="0"/>
                          <w:marBottom w:val="0"/>
                          <w:divBdr>
                            <w:top w:val="none" w:sz="0" w:space="0" w:color="auto"/>
                            <w:left w:val="none" w:sz="0" w:space="0" w:color="auto"/>
                            <w:bottom w:val="none" w:sz="0" w:space="0" w:color="auto"/>
                            <w:right w:val="none" w:sz="0" w:space="0" w:color="auto"/>
                          </w:divBdr>
                        </w:div>
                        <w:div w:id="178542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000301">
      <w:bodyDiv w:val="1"/>
      <w:marLeft w:val="0"/>
      <w:marRight w:val="0"/>
      <w:marTop w:val="0"/>
      <w:marBottom w:val="0"/>
      <w:divBdr>
        <w:top w:val="none" w:sz="0" w:space="0" w:color="auto"/>
        <w:left w:val="none" w:sz="0" w:space="0" w:color="auto"/>
        <w:bottom w:val="none" w:sz="0" w:space="0" w:color="auto"/>
        <w:right w:val="none" w:sz="0" w:space="0" w:color="auto"/>
      </w:divBdr>
      <w:divsChild>
        <w:div w:id="1364087809">
          <w:marLeft w:val="0"/>
          <w:marRight w:val="0"/>
          <w:marTop w:val="0"/>
          <w:marBottom w:val="0"/>
          <w:divBdr>
            <w:top w:val="none" w:sz="0" w:space="0" w:color="auto"/>
            <w:left w:val="none" w:sz="0" w:space="0" w:color="auto"/>
            <w:bottom w:val="none" w:sz="0" w:space="0" w:color="auto"/>
            <w:right w:val="none" w:sz="0" w:space="0" w:color="auto"/>
          </w:divBdr>
          <w:divsChild>
            <w:div w:id="258560461">
              <w:marLeft w:val="0"/>
              <w:marRight w:val="0"/>
              <w:marTop w:val="0"/>
              <w:marBottom w:val="0"/>
              <w:divBdr>
                <w:top w:val="none" w:sz="0" w:space="0" w:color="auto"/>
                <w:left w:val="none" w:sz="0" w:space="0" w:color="auto"/>
                <w:bottom w:val="none" w:sz="0" w:space="0" w:color="auto"/>
                <w:right w:val="none" w:sz="0" w:space="0" w:color="auto"/>
              </w:divBdr>
              <w:divsChild>
                <w:div w:id="1839878310">
                  <w:marLeft w:val="0"/>
                  <w:marRight w:val="0"/>
                  <w:marTop w:val="0"/>
                  <w:marBottom w:val="0"/>
                  <w:divBdr>
                    <w:top w:val="none" w:sz="0" w:space="0" w:color="auto"/>
                    <w:left w:val="none" w:sz="0" w:space="0" w:color="auto"/>
                    <w:bottom w:val="none" w:sz="0" w:space="0" w:color="auto"/>
                    <w:right w:val="none" w:sz="0" w:space="0" w:color="auto"/>
                  </w:divBdr>
                  <w:divsChild>
                    <w:div w:id="356346503">
                      <w:blockQuote w:val="1"/>
                      <w:marLeft w:val="720"/>
                      <w:marRight w:val="0"/>
                      <w:marTop w:val="100"/>
                      <w:marBottom w:val="100"/>
                      <w:divBdr>
                        <w:top w:val="none" w:sz="0" w:space="0" w:color="auto"/>
                        <w:left w:val="none" w:sz="0" w:space="0" w:color="auto"/>
                        <w:bottom w:val="none" w:sz="0" w:space="0" w:color="auto"/>
                        <w:right w:val="none" w:sz="0" w:space="0" w:color="auto"/>
                      </w:divBdr>
                    </w:div>
                    <w:div w:id="382795989">
                      <w:marLeft w:val="0"/>
                      <w:marRight w:val="0"/>
                      <w:marTop w:val="0"/>
                      <w:marBottom w:val="0"/>
                      <w:divBdr>
                        <w:top w:val="none" w:sz="0" w:space="0" w:color="auto"/>
                        <w:left w:val="none" w:sz="0" w:space="0" w:color="auto"/>
                        <w:bottom w:val="none" w:sz="0" w:space="0" w:color="auto"/>
                        <w:right w:val="none" w:sz="0" w:space="0" w:color="auto"/>
                      </w:divBdr>
                      <w:divsChild>
                        <w:div w:id="2100172286">
                          <w:marLeft w:val="0"/>
                          <w:marRight w:val="0"/>
                          <w:marTop w:val="0"/>
                          <w:marBottom w:val="0"/>
                          <w:divBdr>
                            <w:top w:val="none" w:sz="0" w:space="0" w:color="auto"/>
                            <w:left w:val="none" w:sz="0" w:space="0" w:color="auto"/>
                            <w:bottom w:val="none" w:sz="0" w:space="0" w:color="auto"/>
                            <w:right w:val="none" w:sz="0" w:space="0" w:color="auto"/>
                          </w:divBdr>
                        </w:div>
                        <w:div w:id="12416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CDSS</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ISDAdmin</dc:creator>
  <cp:lastModifiedBy>Pat Van</cp:lastModifiedBy>
  <cp:revision>2</cp:revision>
  <cp:lastPrinted>2015-06-09T14:42:00Z</cp:lastPrinted>
  <dcterms:created xsi:type="dcterms:W3CDTF">2016-10-20T21:15:00Z</dcterms:created>
  <dcterms:modified xsi:type="dcterms:W3CDTF">2016-10-20T21:15:00Z</dcterms:modified>
</cp:coreProperties>
</file>