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3A057F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8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Pr="00EE143D" w:rsidRDefault="003A057F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  <w:hyperlink r:id="rId9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Tuesday, </w:t>
      </w:r>
      <w:r w:rsidR="00026072">
        <w:rPr>
          <w:rFonts w:ascii="Arial" w:eastAsia="Times New Roman" w:hAnsi="Arial" w:cs="Times New Roman"/>
          <w:sz w:val="28"/>
          <w:szCs w:val="28"/>
        </w:rPr>
        <w:t xml:space="preserve">August </w:t>
      </w:r>
      <w:r w:rsidR="00AC416E">
        <w:rPr>
          <w:rFonts w:ascii="Arial" w:eastAsia="Times New Roman" w:hAnsi="Arial" w:cs="Times New Roman"/>
          <w:sz w:val="28"/>
          <w:szCs w:val="28"/>
        </w:rPr>
        <w:t>30</w:t>
      </w:r>
      <w:r w:rsidR="00AC416E" w:rsidRPr="00026072">
        <w:rPr>
          <w:rFonts w:ascii="Arial" w:eastAsia="Times New Roman" w:hAnsi="Arial" w:cs="Times New Roman"/>
          <w:sz w:val="28"/>
          <w:szCs w:val="28"/>
          <w:vertAlign w:val="superscript"/>
        </w:rPr>
        <w:t>th</w:t>
      </w:r>
      <w:r w:rsidR="00AC416E">
        <w:rPr>
          <w:rFonts w:ascii="Arial" w:eastAsia="Times New Roman" w:hAnsi="Arial" w:cs="Times New Roman"/>
          <w:sz w:val="28"/>
          <w:szCs w:val="28"/>
        </w:rPr>
        <w:t>,</w:t>
      </w:r>
      <w:r w:rsidR="008D09AF">
        <w:rPr>
          <w:rFonts w:ascii="Arial" w:eastAsia="Times New Roman" w:hAnsi="Arial" w:cs="Times New Roman"/>
          <w:sz w:val="28"/>
          <w:szCs w:val="28"/>
        </w:rPr>
        <w:t xml:space="preserve"> 2016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AC416E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   </w:t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3:00pm to 4:00pm </w:t>
      </w:r>
    </w:p>
    <w:p w:rsidR="00EE143D" w:rsidRPr="00EE143D" w:rsidRDefault="00EE143D" w:rsidP="00AC416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156210</wp:posOffset>
                </wp:positionV>
                <wp:extent cx="2964180" cy="1152525"/>
                <wp:effectExtent l="0" t="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AC416E" w:rsidRDefault="00AC416E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3pt;width:233.4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UgAIAABAFAAAOAAAAZHJzL2Uyb0RvYy54bWysVOtu2yAU/j9p74D4n/oiJ42tOlWbLNOk&#10;7iK1ewACOEbDwIDE7qa++w44SdNdpGmaIxE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AC416E" w:rsidRDefault="00AC416E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AC416E" w:rsidRDefault="00AC416E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124B61" w:rsidRDefault="00AC416E" w:rsidP="00AC416E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28"/>
          <w:szCs w:val="28"/>
        </w:rPr>
      </w:pPr>
      <w:r w:rsidRPr="00AC416E">
        <w:rPr>
          <w:rFonts w:ascii="Arial" w:eastAsia="Times New Roman" w:hAnsi="Arial" w:cs="Times New Roman"/>
          <w:b/>
          <w:sz w:val="28"/>
          <w:szCs w:val="28"/>
        </w:rPr>
        <w:t>TELECONFERE</w:t>
      </w:r>
      <w:r w:rsidR="00124B61">
        <w:rPr>
          <w:rFonts w:ascii="Arial" w:eastAsia="Times New Roman" w:hAnsi="Arial" w:cs="Times New Roman"/>
          <w:b/>
          <w:sz w:val="28"/>
          <w:szCs w:val="28"/>
        </w:rPr>
        <w:t>N</w:t>
      </w:r>
      <w:r w:rsidRPr="00AC416E">
        <w:rPr>
          <w:rFonts w:ascii="Arial" w:eastAsia="Times New Roman" w:hAnsi="Arial" w:cs="Times New Roman"/>
          <w:b/>
          <w:sz w:val="28"/>
          <w:szCs w:val="28"/>
        </w:rPr>
        <w:t>CE SITE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: </w:t>
      </w:r>
    </w:p>
    <w:p w:rsidR="00AC416E" w:rsidRPr="00124B61" w:rsidRDefault="00183E96" w:rsidP="00AC416E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Call in Number </w:t>
      </w:r>
      <w:r w:rsidR="00124B61">
        <w:rPr>
          <w:rFonts w:ascii="Arial" w:eastAsia="Times New Roman" w:hAnsi="Arial" w:cs="Times New Roman"/>
          <w:b/>
          <w:sz w:val="28"/>
          <w:szCs w:val="28"/>
        </w:rPr>
        <w:t>1-209-</w:t>
      </w:r>
      <w:r w:rsidR="00124B61" w:rsidRPr="00124B61">
        <w:rPr>
          <w:rFonts w:ascii="Arial" w:hAnsi="Arial" w:cs="Arial"/>
          <w:b/>
          <w:sz w:val="28"/>
          <w:szCs w:val="28"/>
        </w:rPr>
        <w:t>955-3283</w:t>
      </w:r>
    </w:p>
    <w:p w:rsidR="00EE143D" w:rsidRDefault="00AC416E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8"/>
        </w:rPr>
        <w:tab/>
      </w:r>
      <w:r>
        <w:rPr>
          <w:rFonts w:ascii="Arial" w:eastAsia="Times New Roman" w:hAnsi="Arial" w:cs="Times New Roman"/>
          <w:b/>
          <w:sz w:val="28"/>
          <w:szCs w:val="28"/>
        </w:rPr>
        <w:tab/>
        <w:t xml:space="preserve">Disability Rights CA </w:t>
      </w:r>
    </w:p>
    <w:p w:rsidR="00AC416E" w:rsidRDefault="00AC416E" w:rsidP="00AC416E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1831 K Street</w:t>
      </w:r>
    </w:p>
    <w:p w:rsidR="00AC416E" w:rsidRPr="00AC416E" w:rsidRDefault="00AC416E" w:rsidP="00AC416E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Sacramento, CA 95811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183E96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Marigene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Tacan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-Regan at the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3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Thursday, </w:t>
      </w:r>
      <w:r>
        <w:rPr>
          <w:rFonts w:ascii="Arial" w:eastAsia="Times New Roman" w:hAnsi="Arial" w:cs="Arial"/>
          <w:i/>
          <w:sz w:val="28"/>
          <w:szCs w:val="28"/>
        </w:rPr>
        <w:t>August 25, 2016</w:t>
      </w: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92478E" w:rsidRDefault="008633A7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11FCCF" wp14:editId="6F1C3516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1052195" cy="1047750"/>
            <wp:effectExtent l="0" t="0" r="0" b="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CF">
        <w:rPr>
          <w:noProof/>
        </w:rPr>
        <w:drawing>
          <wp:anchor distT="0" distB="0" distL="114300" distR="114300" simplePos="0" relativeHeight="251664384" behindDoc="0" locked="0" layoutInCell="1" allowOverlap="1" wp14:anchorId="27C90604" wp14:editId="65F884F8">
            <wp:simplePos x="0" y="0"/>
            <wp:positionH relativeFrom="column">
              <wp:posOffset>5233035</wp:posOffset>
            </wp:positionH>
            <wp:positionV relativeFrom="paragraph">
              <wp:posOffset>-454660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EE" w:rsidRPr="007A0CEE" w:rsidRDefault="007A0CEE" w:rsidP="008633A7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8116CF" w:rsidP="008116CF">
      <w:pPr>
        <w:pStyle w:val="ListParagrap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183E96">
        <w:rPr>
          <w:rFonts w:asciiTheme="minorHAnsi" w:hAnsiTheme="minorHAnsi"/>
          <w:sz w:val="32"/>
          <w:szCs w:val="32"/>
        </w:rPr>
        <w:t>August 30</w:t>
      </w:r>
      <w:r w:rsidR="008D09AF">
        <w:rPr>
          <w:rFonts w:asciiTheme="minorHAnsi" w:hAnsiTheme="minorHAnsi"/>
          <w:sz w:val="32"/>
          <w:szCs w:val="32"/>
        </w:rPr>
        <w:t>, 2016</w:t>
      </w:r>
    </w:p>
    <w:p w:rsidR="002F444B" w:rsidRPr="00EE143D" w:rsidRDefault="00780592" w:rsidP="00EE143D">
      <w:pPr>
        <w:jc w:val="center"/>
        <w:rPr>
          <w:b/>
          <w:sz w:val="32"/>
          <w:szCs w:val="32"/>
          <w:u w:val="single"/>
        </w:rPr>
      </w:pPr>
      <w:r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</w:t>
      </w:r>
      <w:r w:rsidR="00183E96">
        <w:rPr>
          <w:sz w:val="28"/>
          <w:szCs w:val="28"/>
        </w:rPr>
        <w:t>April 26</w:t>
      </w:r>
      <w:r w:rsidR="00317810">
        <w:rPr>
          <w:sz w:val="28"/>
          <w:szCs w:val="28"/>
        </w:rPr>
        <w:t>, 2016</w:t>
      </w:r>
      <w:r>
        <w:rPr>
          <w:sz w:val="28"/>
          <w:szCs w:val="28"/>
        </w:rPr>
        <w:t xml:space="preserve">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6F73" w:rsidRDefault="005E6F73" w:rsidP="005E6F73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to action on each agenda item.    </w:t>
      </w:r>
    </w:p>
    <w:p w:rsidR="008D09AF" w:rsidRDefault="008D09AF" w:rsidP="008D09AF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SCDD Statewide Self Determination Advisory Committee</w:t>
      </w:r>
      <w:r w:rsidR="00317810">
        <w:rPr>
          <w:b/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- </w:t>
      </w:r>
      <w:r w:rsidRPr="00D63DAB">
        <w:rPr>
          <w:i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</w:p>
    <w:p w:rsidR="008D09AF" w:rsidRDefault="00183E96" w:rsidP="008D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Alphonse </w:t>
      </w:r>
      <w:proofErr w:type="spellStart"/>
      <w:r>
        <w:rPr>
          <w:sz w:val="28"/>
          <w:szCs w:val="28"/>
        </w:rPr>
        <w:t>Mickahail</w:t>
      </w:r>
      <w:proofErr w:type="spellEnd"/>
      <w:r>
        <w:rPr>
          <w:sz w:val="28"/>
          <w:szCs w:val="28"/>
        </w:rPr>
        <w:t>- vice chair-</w:t>
      </w:r>
      <w:r w:rsidR="00317810">
        <w:rPr>
          <w:sz w:val="28"/>
          <w:szCs w:val="28"/>
        </w:rPr>
        <w:t xml:space="preserve">- VMRC SDAC representative </w:t>
      </w:r>
    </w:p>
    <w:p w:rsidR="008D09AF" w:rsidRPr="008D09AF" w:rsidRDefault="008D09AF" w:rsidP="008D09AF">
      <w:pPr>
        <w:spacing w:after="0" w:line="240" w:lineRule="auto"/>
        <w:rPr>
          <w:sz w:val="28"/>
          <w:szCs w:val="28"/>
        </w:rPr>
      </w:pPr>
    </w:p>
    <w:p w:rsidR="005400C9" w:rsidRDefault="00F75DC8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VMRC SDAC </w:t>
      </w:r>
      <w:r w:rsidR="00A913CA">
        <w:rPr>
          <w:b/>
          <w:sz w:val="28"/>
          <w:szCs w:val="28"/>
        </w:rPr>
        <w:t>Next Steps</w:t>
      </w:r>
      <w:r>
        <w:rPr>
          <w:b/>
          <w:sz w:val="28"/>
          <w:szCs w:val="28"/>
        </w:rPr>
        <w:t xml:space="preserve"> </w:t>
      </w:r>
      <w:r w:rsidR="005400C9">
        <w:rPr>
          <w:sz w:val="28"/>
          <w:szCs w:val="28"/>
        </w:rPr>
        <w:t xml:space="preserve">- </w:t>
      </w:r>
      <w:r w:rsidR="005400C9" w:rsidRPr="005400C9">
        <w:rPr>
          <w:b/>
          <w:i/>
          <w:sz w:val="28"/>
          <w:szCs w:val="28"/>
        </w:rPr>
        <w:t>ACTION</w:t>
      </w:r>
    </w:p>
    <w:p w:rsidR="00F75DC8" w:rsidRDefault="00A913CA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Claire Lazaro- chair</w:t>
      </w:r>
      <w:r w:rsidR="008633A7">
        <w:rPr>
          <w:sz w:val="28"/>
          <w:szCs w:val="28"/>
        </w:rPr>
        <w:t>- discussion of training modules and outreach needed to our counties.</w:t>
      </w:r>
    </w:p>
    <w:p w:rsidR="00A913CA" w:rsidRDefault="00A913CA" w:rsidP="005400C9">
      <w:pPr>
        <w:spacing w:after="0" w:line="240" w:lineRule="auto"/>
        <w:rPr>
          <w:sz w:val="28"/>
          <w:szCs w:val="28"/>
        </w:rPr>
      </w:pPr>
    </w:p>
    <w:p w:rsidR="00F75DC8" w:rsidRDefault="00073932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Department of Developmental Services (DDS) </w:t>
      </w:r>
      <w:r w:rsidR="00F75DC8" w:rsidRPr="00F75DC8">
        <w:rPr>
          <w:b/>
          <w:sz w:val="28"/>
          <w:szCs w:val="28"/>
        </w:rPr>
        <w:t>Self Determination Waiver Update</w:t>
      </w:r>
      <w:r w:rsidR="00F75DC8">
        <w:rPr>
          <w:sz w:val="28"/>
          <w:szCs w:val="28"/>
        </w:rPr>
        <w:t xml:space="preserve">- </w:t>
      </w:r>
      <w:r w:rsidR="00F75DC8" w:rsidRPr="00A913CA">
        <w:rPr>
          <w:b/>
          <w:i/>
          <w:sz w:val="28"/>
          <w:szCs w:val="28"/>
        </w:rPr>
        <w:t>Information</w:t>
      </w:r>
    </w:p>
    <w:p w:rsidR="0019652B" w:rsidRDefault="00F75DC8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Billodeau</w:t>
      </w:r>
      <w:proofErr w:type="spellEnd"/>
      <w:r>
        <w:rPr>
          <w:sz w:val="28"/>
          <w:szCs w:val="28"/>
        </w:rPr>
        <w:t xml:space="preserve">- VMRC </w:t>
      </w:r>
    </w:p>
    <w:p w:rsidR="00073932" w:rsidRDefault="00073932" w:rsidP="005400C9">
      <w:pPr>
        <w:spacing w:after="0" w:line="240" w:lineRule="auto"/>
        <w:rPr>
          <w:sz w:val="28"/>
          <w:szCs w:val="28"/>
        </w:rPr>
      </w:pPr>
    </w:p>
    <w:p w:rsidR="009C6C77" w:rsidRDefault="00073932" w:rsidP="005400C9">
      <w:pPr>
        <w:spacing w:after="0" w:line="240" w:lineRule="auto"/>
        <w:rPr>
          <w:sz w:val="28"/>
          <w:szCs w:val="28"/>
        </w:rPr>
      </w:pPr>
      <w:r w:rsidRPr="00073932">
        <w:rPr>
          <w:b/>
          <w:sz w:val="28"/>
          <w:szCs w:val="28"/>
        </w:rPr>
        <w:t>O</w:t>
      </w:r>
      <w:r w:rsidR="00A913CA">
        <w:rPr>
          <w:b/>
          <w:sz w:val="28"/>
          <w:szCs w:val="28"/>
        </w:rPr>
        <w:t>ther</w:t>
      </w:r>
      <w:r w:rsidRPr="00073932">
        <w:rPr>
          <w:b/>
          <w:sz w:val="28"/>
          <w:szCs w:val="28"/>
        </w:rPr>
        <w:t xml:space="preserve"> </w:t>
      </w:r>
      <w:r w:rsidR="009C6C77">
        <w:rPr>
          <w:b/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 w:rsidR="009C6C77">
        <w:rPr>
          <w:sz w:val="28"/>
          <w:szCs w:val="28"/>
        </w:rPr>
        <w:t>–</w:t>
      </w:r>
      <w:r>
        <w:rPr>
          <w:sz w:val="28"/>
          <w:szCs w:val="28"/>
        </w:rPr>
        <w:t xml:space="preserve"> all</w:t>
      </w:r>
      <w:r w:rsidR="009C6C77">
        <w:rPr>
          <w:sz w:val="28"/>
          <w:szCs w:val="28"/>
        </w:rPr>
        <w:t xml:space="preserve"> </w:t>
      </w:r>
    </w:p>
    <w:p w:rsidR="00A913CA" w:rsidRPr="00A913CA" w:rsidRDefault="00A913CA" w:rsidP="005400C9">
      <w:pPr>
        <w:spacing w:after="0" w:line="240" w:lineRule="auto"/>
        <w:rPr>
          <w:b/>
          <w:i/>
          <w:sz w:val="28"/>
          <w:szCs w:val="28"/>
        </w:rPr>
      </w:pPr>
      <w:r w:rsidRPr="00A913CA">
        <w:rPr>
          <w:b/>
          <w:i/>
          <w:sz w:val="28"/>
          <w:szCs w:val="28"/>
        </w:rPr>
        <w:t>Information</w:t>
      </w:r>
    </w:p>
    <w:p w:rsidR="00073932" w:rsidRPr="00A913CA" w:rsidRDefault="009C6C77" w:rsidP="00A913CA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A913CA">
        <w:rPr>
          <w:rFonts w:asciiTheme="minorHAnsi" w:hAnsiTheme="minorHAnsi"/>
          <w:sz w:val="28"/>
          <w:szCs w:val="28"/>
        </w:rPr>
        <w:t xml:space="preserve">VMRC SDAC to attend the Self Advocacy Council 6 Area Meeting in </w:t>
      </w:r>
      <w:r w:rsidR="00183E96" w:rsidRPr="00A913CA">
        <w:rPr>
          <w:rFonts w:asciiTheme="minorHAnsi" w:hAnsiTheme="minorHAnsi"/>
          <w:sz w:val="28"/>
          <w:szCs w:val="28"/>
        </w:rPr>
        <w:t xml:space="preserve">November </w:t>
      </w:r>
      <w:r w:rsidR="00A913CA" w:rsidRPr="00A913CA">
        <w:rPr>
          <w:rFonts w:asciiTheme="minorHAnsi" w:hAnsiTheme="minorHAnsi"/>
          <w:sz w:val="28"/>
          <w:szCs w:val="28"/>
        </w:rPr>
        <w:t>4, 2016</w:t>
      </w:r>
      <w:r w:rsidR="00A913CA">
        <w:rPr>
          <w:rFonts w:asciiTheme="minorHAnsi" w:hAnsiTheme="minorHAnsi"/>
          <w:sz w:val="28"/>
          <w:szCs w:val="28"/>
        </w:rPr>
        <w:t>- Modesto</w:t>
      </w:r>
      <w:r w:rsidR="00A913CA" w:rsidRPr="00A913CA">
        <w:rPr>
          <w:rFonts w:asciiTheme="minorHAnsi" w:hAnsiTheme="minorHAnsi"/>
          <w:sz w:val="28"/>
          <w:szCs w:val="28"/>
        </w:rPr>
        <w:t>- the topic for this area meeting is Self Determination- Dena will be presenting and any other SDAC member is welcome to as well</w:t>
      </w:r>
    </w:p>
    <w:p w:rsidR="008633A7" w:rsidRDefault="009C6C77" w:rsidP="002F444B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8633A7">
        <w:rPr>
          <w:rFonts w:asciiTheme="minorHAnsi" w:hAnsiTheme="minorHAnsi"/>
          <w:sz w:val="28"/>
          <w:szCs w:val="28"/>
        </w:rPr>
        <w:t xml:space="preserve">Bagley–Keene – court </w:t>
      </w:r>
      <w:r w:rsidR="008116CF" w:rsidRPr="008633A7">
        <w:rPr>
          <w:rFonts w:asciiTheme="minorHAnsi" w:hAnsiTheme="minorHAnsi"/>
          <w:sz w:val="28"/>
          <w:szCs w:val="28"/>
        </w:rPr>
        <w:t>findings/clarification</w:t>
      </w:r>
      <w:r w:rsidR="00183E96" w:rsidRPr="008633A7">
        <w:rPr>
          <w:rFonts w:asciiTheme="minorHAnsi" w:hAnsiTheme="minorHAnsi"/>
          <w:sz w:val="28"/>
          <w:szCs w:val="28"/>
        </w:rPr>
        <w:t xml:space="preserve">- </w:t>
      </w:r>
      <w:r w:rsidR="00A913CA" w:rsidRPr="00450183">
        <w:rPr>
          <w:rFonts w:asciiTheme="minorHAnsi" w:hAnsiTheme="minorHAnsi"/>
          <w:b/>
          <w:i/>
          <w:sz w:val="28"/>
          <w:szCs w:val="28"/>
        </w:rPr>
        <w:t>FINDINGS</w:t>
      </w:r>
      <w:r w:rsidR="00A913CA" w:rsidRPr="008633A7">
        <w:rPr>
          <w:rFonts w:asciiTheme="minorHAnsi" w:hAnsiTheme="minorHAnsi"/>
          <w:sz w:val="28"/>
          <w:szCs w:val="28"/>
        </w:rPr>
        <w:t xml:space="preserve">: </w:t>
      </w:r>
      <w:r w:rsidR="00183E96" w:rsidRPr="008633A7">
        <w:rPr>
          <w:rFonts w:asciiTheme="minorHAnsi" w:hAnsiTheme="minorHAnsi"/>
          <w:sz w:val="28"/>
          <w:szCs w:val="28"/>
        </w:rPr>
        <w:t xml:space="preserve">The regional centers are to adhere to </w:t>
      </w:r>
      <w:r w:rsidR="00450183">
        <w:rPr>
          <w:rFonts w:asciiTheme="minorHAnsi" w:hAnsiTheme="minorHAnsi"/>
          <w:sz w:val="28"/>
          <w:szCs w:val="28"/>
        </w:rPr>
        <w:t xml:space="preserve">the </w:t>
      </w:r>
      <w:r w:rsidR="00183E96" w:rsidRPr="008633A7">
        <w:rPr>
          <w:rFonts w:asciiTheme="minorHAnsi" w:hAnsiTheme="minorHAnsi"/>
          <w:sz w:val="28"/>
          <w:szCs w:val="28"/>
        </w:rPr>
        <w:t xml:space="preserve">Bagley-Keene law in regards to the SDAC.  </w:t>
      </w:r>
    </w:p>
    <w:p w:rsidR="008633A7" w:rsidRDefault="002C664C" w:rsidP="002F444B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8633A7">
        <w:rPr>
          <w:rFonts w:asciiTheme="minorHAnsi" w:hAnsiTheme="minorHAnsi"/>
          <w:sz w:val="28"/>
          <w:szCs w:val="28"/>
        </w:rPr>
        <w:t>Agenda items for next meeting</w:t>
      </w:r>
      <w:r w:rsidRPr="008633A7">
        <w:rPr>
          <w:rFonts w:asciiTheme="minorHAnsi" w:hAnsiTheme="minorHAnsi"/>
          <w:b/>
          <w:sz w:val="28"/>
          <w:szCs w:val="28"/>
        </w:rPr>
        <w:t>-</w:t>
      </w:r>
      <w:r w:rsidRPr="008633A7">
        <w:rPr>
          <w:rFonts w:asciiTheme="minorHAnsi" w:hAnsiTheme="minorHAnsi"/>
          <w:sz w:val="28"/>
          <w:szCs w:val="28"/>
        </w:rPr>
        <w:t>all</w:t>
      </w:r>
    </w:p>
    <w:p w:rsidR="009C6C77" w:rsidRPr="00C046A9" w:rsidRDefault="007B1B3F" w:rsidP="002F444B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8633A7">
        <w:rPr>
          <w:rFonts w:asciiTheme="minorHAnsi" w:hAnsiTheme="minorHAnsi"/>
          <w:b/>
          <w:sz w:val="28"/>
          <w:szCs w:val="28"/>
        </w:rPr>
        <w:lastRenderedPageBreak/>
        <w:t>Next Meeting</w:t>
      </w:r>
      <w:r w:rsidR="0019652B"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2C664C" w:rsidRPr="008633A7">
        <w:rPr>
          <w:rFonts w:asciiTheme="minorHAnsi" w:hAnsiTheme="minorHAnsi"/>
          <w:b/>
          <w:sz w:val="28"/>
          <w:szCs w:val="28"/>
        </w:rPr>
        <w:t xml:space="preserve">– </w:t>
      </w:r>
      <w:r w:rsidR="008633A7">
        <w:rPr>
          <w:rFonts w:asciiTheme="minorHAnsi" w:hAnsiTheme="minorHAnsi"/>
          <w:b/>
          <w:sz w:val="28"/>
          <w:szCs w:val="28"/>
        </w:rPr>
        <w:t>November 30</w:t>
      </w:r>
      <w:r w:rsidR="009C6C77"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2C664C" w:rsidRPr="008633A7">
        <w:rPr>
          <w:rFonts w:asciiTheme="minorHAnsi" w:hAnsiTheme="minorHAnsi"/>
          <w:b/>
          <w:sz w:val="28"/>
          <w:szCs w:val="28"/>
        </w:rPr>
        <w:t xml:space="preserve"> at 3pm-4pm at VMRC</w:t>
      </w:r>
      <w:r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C046A9">
        <w:rPr>
          <w:rFonts w:asciiTheme="minorHAnsi" w:hAnsiTheme="minorHAnsi"/>
          <w:b/>
          <w:sz w:val="28"/>
          <w:szCs w:val="28"/>
        </w:rPr>
        <w:t>– confirm</w:t>
      </w:r>
    </w:p>
    <w:p w:rsidR="00C046A9" w:rsidRPr="00C046A9" w:rsidRDefault="00C046A9" w:rsidP="00C046A9">
      <w:pPr>
        <w:ind w:left="360"/>
        <w:rPr>
          <w:sz w:val="28"/>
          <w:szCs w:val="28"/>
        </w:rPr>
      </w:pPr>
    </w:p>
    <w:p w:rsidR="007B1B3F" w:rsidRDefault="004A54F9" w:rsidP="002F444B">
      <w:pPr>
        <w:spacing w:after="0" w:line="240" w:lineRule="auto"/>
        <w:rPr>
          <w:b/>
          <w:sz w:val="28"/>
          <w:szCs w:val="28"/>
        </w:rPr>
      </w:pPr>
      <w:r w:rsidRPr="008633A7">
        <w:rPr>
          <w:b/>
          <w:sz w:val="28"/>
          <w:szCs w:val="28"/>
        </w:rPr>
        <w:t>Meeting Adjourned</w:t>
      </w:r>
    </w:p>
    <w:p w:rsidR="00C046A9" w:rsidRDefault="00C046A9" w:rsidP="002F444B">
      <w:pPr>
        <w:spacing w:after="0" w:line="240" w:lineRule="auto"/>
        <w:rPr>
          <w:b/>
          <w:sz w:val="28"/>
          <w:szCs w:val="28"/>
        </w:rPr>
      </w:pPr>
    </w:p>
    <w:p w:rsidR="00C046A9" w:rsidRDefault="00C046A9" w:rsidP="002F444B">
      <w:pPr>
        <w:spacing w:after="0" w:line="240" w:lineRule="auto"/>
        <w:rPr>
          <w:b/>
          <w:sz w:val="28"/>
          <w:szCs w:val="28"/>
        </w:rPr>
      </w:pPr>
    </w:p>
    <w:p w:rsidR="00C046A9" w:rsidRDefault="00C046A9" w:rsidP="00C04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C046A9" w:rsidRPr="008633A7" w:rsidRDefault="00C046A9" w:rsidP="00C04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46A9" w:rsidRPr="008633A7" w:rsidSect="009C6C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7F" w:rsidRDefault="003A057F" w:rsidP="00396D9B">
      <w:pPr>
        <w:spacing w:after="0" w:line="240" w:lineRule="auto"/>
      </w:pPr>
      <w:r>
        <w:separator/>
      </w:r>
    </w:p>
  </w:endnote>
  <w:endnote w:type="continuationSeparator" w:id="0">
    <w:p w:rsidR="003A057F" w:rsidRDefault="003A057F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7F" w:rsidRDefault="003A057F" w:rsidP="00396D9B">
      <w:pPr>
        <w:spacing w:after="0" w:line="240" w:lineRule="auto"/>
      </w:pPr>
      <w:r>
        <w:separator/>
      </w:r>
    </w:p>
  </w:footnote>
  <w:footnote w:type="continuationSeparator" w:id="0">
    <w:p w:rsidR="003A057F" w:rsidRDefault="003A057F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8555A"/>
    <w:multiLevelType w:val="hybridMultilevel"/>
    <w:tmpl w:val="7FC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026072"/>
    <w:rsid w:val="00073932"/>
    <w:rsid w:val="00086612"/>
    <w:rsid w:val="00124B61"/>
    <w:rsid w:val="00183E96"/>
    <w:rsid w:val="0019652B"/>
    <w:rsid w:val="001A7FF3"/>
    <w:rsid w:val="001B753D"/>
    <w:rsid w:val="001E769F"/>
    <w:rsid w:val="002C664C"/>
    <w:rsid w:val="002F444B"/>
    <w:rsid w:val="00317810"/>
    <w:rsid w:val="00396D9B"/>
    <w:rsid w:val="003A057F"/>
    <w:rsid w:val="0044026F"/>
    <w:rsid w:val="00450183"/>
    <w:rsid w:val="004864F8"/>
    <w:rsid w:val="004A54F9"/>
    <w:rsid w:val="005400C9"/>
    <w:rsid w:val="005E6F73"/>
    <w:rsid w:val="005F1288"/>
    <w:rsid w:val="007333B8"/>
    <w:rsid w:val="00780592"/>
    <w:rsid w:val="007A0CEE"/>
    <w:rsid w:val="007B1B3F"/>
    <w:rsid w:val="007B27DE"/>
    <w:rsid w:val="008116CF"/>
    <w:rsid w:val="008633A7"/>
    <w:rsid w:val="008D09AF"/>
    <w:rsid w:val="0092478E"/>
    <w:rsid w:val="00991929"/>
    <w:rsid w:val="0099584D"/>
    <w:rsid w:val="009C6C77"/>
    <w:rsid w:val="00A913CA"/>
    <w:rsid w:val="00AC416E"/>
    <w:rsid w:val="00B66A70"/>
    <w:rsid w:val="00C046A9"/>
    <w:rsid w:val="00C71B3B"/>
    <w:rsid w:val="00D046E3"/>
    <w:rsid w:val="00D63DAB"/>
    <w:rsid w:val="00DA3024"/>
    <w:rsid w:val="00E8270A"/>
    <w:rsid w:val="00EE143D"/>
    <w:rsid w:val="00EF323A"/>
    <w:rsid w:val="00F75DC8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AC305-3879-4584-B92B-721D1001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c.net" TargetMode="External"/><Relationship Id="rId13" Type="http://schemas.openxmlformats.org/officeDocument/2006/relationships/hyperlink" Target="mailto:northvalleyhills@scdd.ca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dd.ca.gov/northvalleyhills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2015-09-18T18:38:00Z</cp:lastPrinted>
  <dcterms:created xsi:type="dcterms:W3CDTF">2016-10-31T21:05:00Z</dcterms:created>
  <dcterms:modified xsi:type="dcterms:W3CDTF">2016-10-31T21:05:00Z</dcterms:modified>
</cp:coreProperties>
</file>