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D4D" w:rsidRDefault="00932D4D" w:rsidP="00932D4D">
      <w:pPr>
        <w:pStyle w:val="Default"/>
        <w:jc w:val="center"/>
      </w:pPr>
      <w:bookmarkStart w:id="0" w:name="_GoBack"/>
      <w:bookmarkEnd w:id="0"/>
      <w:r w:rsidRPr="00932D4D">
        <w:rPr>
          <w:noProof/>
        </w:rPr>
        <w:drawing>
          <wp:inline distT="0" distB="0" distL="0" distR="0">
            <wp:extent cx="3467135" cy="619448"/>
            <wp:effectExtent l="19050" t="0" r="0" b="0"/>
            <wp:docPr id="4" name="Picture 2" descr="SGPRC logo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PRC logo3.bmp"/>
                    <pic:cNvPicPr/>
                  </pic:nvPicPr>
                  <pic:blipFill>
                    <a:blip r:embed="rId5" cstate="print">
                      <a:grayscl/>
                      <a:lum bright="-20000" contrast="40000"/>
                    </a:blip>
                    <a:stretch>
                      <a:fillRect/>
                    </a:stretch>
                  </pic:blipFill>
                  <pic:spPr>
                    <a:xfrm>
                      <a:off x="0" y="0"/>
                      <a:ext cx="3479416" cy="621642"/>
                    </a:xfrm>
                    <a:prstGeom prst="rect">
                      <a:avLst/>
                    </a:prstGeom>
                  </pic:spPr>
                </pic:pic>
              </a:graphicData>
            </a:graphic>
          </wp:inline>
        </w:drawing>
      </w:r>
    </w:p>
    <w:p w:rsidR="00932D4D" w:rsidRDefault="00932D4D" w:rsidP="00932D4D">
      <w:pPr>
        <w:pStyle w:val="Default"/>
        <w:jc w:val="center"/>
      </w:pPr>
    </w:p>
    <w:p w:rsidR="00932D4D" w:rsidRDefault="00932D4D" w:rsidP="00932D4D">
      <w:pPr>
        <w:pStyle w:val="Default"/>
        <w:jc w:val="center"/>
      </w:pPr>
    </w:p>
    <w:p w:rsidR="00932D4D" w:rsidRPr="00D80097" w:rsidRDefault="00932D4D" w:rsidP="00932D4D">
      <w:pPr>
        <w:pStyle w:val="Default"/>
        <w:jc w:val="center"/>
        <w:rPr>
          <w:b/>
        </w:rPr>
      </w:pPr>
    </w:p>
    <w:p w:rsidR="00686205" w:rsidRDefault="00686205" w:rsidP="00686205">
      <w:pPr>
        <w:pStyle w:val="Default"/>
        <w:jc w:val="center"/>
        <w:rPr>
          <w:b/>
          <w:sz w:val="32"/>
          <w:szCs w:val="32"/>
        </w:rPr>
      </w:pPr>
      <w:r>
        <w:rPr>
          <w:sz w:val="20"/>
          <w:szCs w:val="20"/>
        </w:rPr>
        <w:t xml:space="preserve"> </w:t>
      </w:r>
      <w:r w:rsidRPr="00686205">
        <w:rPr>
          <w:b/>
          <w:sz w:val="32"/>
          <w:szCs w:val="32"/>
        </w:rPr>
        <w:t>Hội đồng tư vấ</w:t>
      </w:r>
      <w:r w:rsidR="00EA6647">
        <w:rPr>
          <w:b/>
          <w:sz w:val="32"/>
          <w:szCs w:val="32"/>
        </w:rPr>
        <w:t xml:space="preserve">n </w:t>
      </w:r>
      <w:r w:rsidRPr="00686205">
        <w:rPr>
          <w:b/>
          <w:sz w:val="32"/>
          <w:szCs w:val="32"/>
        </w:rPr>
        <w:t xml:space="preserve">tình nguyện viên địa phương </w:t>
      </w:r>
    </w:p>
    <w:p w:rsidR="00686205" w:rsidRDefault="00EA6647" w:rsidP="00686205">
      <w:pPr>
        <w:pStyle w:val="Default"/>
        <w:jc w:val="center"/>
        <w:rPr>
          <w:b/>
          <w:sz w:val="32"/>
          <w:szCs w:val="32"/>
        </w:rPr>
      </w:pPr>
      <w:r>
        <w:rPr>
          <w:b/>
          <w:sz w:val="32"/>
          <w:szCs w:val="32"/>
        </w:rPr>
        <w:t>ở</w:t>
      </w:r>
      <w:r w:rsidR="00686205" w:rsidRPr="00686205">
        <w:rPr>
          <w:b/>
          <w:sz w:val="32"/>
          <w:szCs w:val="32"/>
        </w:rPr>
        <w:t xml:space="preserve"> trung tâm khu vực San Gabriel Pomona </w:t>
      </w:r>
    </w:p>
    <w:p w:rsidR="00932D4D" w:rsidRPr="00EF1CEE" w:rsidRDefault="00686205" w:rsidP="00686205">
      <w:pPr>
        <w:pStyle w:val="Default"/>
        <w:jc w:val="center"/>
        <w:rPr>
          <w:b/>
          <w:sz w:val="32"/>
          <w:szCs w:val="32"/>
        </w:rPr>
      </w:pPr>
      <w:r w:rsidRPr="00686205">
        <w:rPr>
          <w:b/>
          <w:sz w:val="32"/>
          <w:szCs w:val="32"/>
        </w:rPr>
        <w:t>về</w:t>
      </w:r>
      <w:r w:rsidR="00EA6647">
        <w:rPr>
          <w:b/>
          <w:sz w:val="32"/>
          <w:szCs w:val="32"/>
        </w:rPr>
        <w:t xml:space="preserve"> chương trình quyền tự quyết định</w:t>
      </w:r>
      <w:r w:rsidRPr="00686205">
        <w:rPr>
          <w:b/>
          <w:sz w:val="32"/>
          <w:szCs w:val="32"/>
        </w:rPr>
        <w:t xml:space="preserve"> (</w:t>
      </w:r>
      <w:r w:rsidR="00EA6647">
        <w:rPr>
          <w:b/>
          <w:sz w:val="32"/>
          <w:szCs w:val="32"/>
        </w:rPr>
        <w:t>self-determination program-</w:t>
      </w:r>
      <w:r w:rsidRPr="00686205">
        <w:rPr>
          <w:b/>
          <w:sz w:val="32"/>
          <w:szCs w:val="32"/>
        </w:rPr>
        <w:t>SDP)</w:t>
      </w:r>
    </w:p>
    <w:p w:rsidR="00932D4D" w:rsidRPr="00EF1CEE" w:rsidRDefault="00932D4D" w:rsidP="00932D4D">
      <w:pPr>
        <w:pStyle w:val="Default"/>
        <w:jc w:val="center"/>
        <w:rPr>
          <w:b/>
          <w:sz w:val="32"/>
          <w:szCs w:val="32"/>
        </w:rPr>
      </w:pPr>
    </w:p>
    <w:p w:rsidR="00932D4D" w:rsidRPr="00D80097" w:rsidRDefault="00932D4D" w:rsidP="00932D4D">
      <w:pPr>
        <w:pStyle w:val="Default"/>
        <w:jc w:val="center"/>
        <w:rPr>
          <w:b/>
        </w:rPr>
      </w:pPr>
    </w:p>
    <w:p w:rsidR="00932D4D" w:rsidRDefault="00932D4D" w:rsidP="00932D4D">
      <w:pPr>
        <w:pStyle w:val="Default"/>
        <w:jc w:val="center"/>
        <w:rPr>
          <w:b/>
          <w:sz w:val="28"/>
          <w:szCs w:val="28"/>
        </w:rPr>
      </w:pPr>
      <w:r w:rsidRPr="00D80097">
        <w:rPr>
          <w:b/>
        </w:rPr>
        <w:t xml:space="preserve"> </w:t>
      </w:r>
      <w:r w:rsidR="00686205" w:rsidRPr="00686205">
        <w:rPr>
          <w:b/>
          <w:sz w:val="28"/>
          <w:szCs w:val="28"/>
        </w:rPr>
        <w:t xml:space="preserve">Cuộc họp </w:t>
      </w:r>
      <w:r w:rsidR="00850AFD" w:rsidRPr="00686205">
        <w:rPr>
          <w:b/>
          <w:sz w:val="28"/>
          <w:szCs w:val="28"/>
        </w:rPr>
        <w:t xml:space="preserve">vào </w:t>
      </w:r>
      <w:r w:rsidR="00686205" w:rsidRPr="00686205">
        <w:rPr>
          <w:b/>
          <w:sz w:val="28"/>
          <w:szCs w:val="28"/>
        </w:rPr>
        <w:t>ng</w:t>
      </w:r>
      <w:r w:rsidR="00850AFD">
        <w:rPr>
          <w:b/>
          <w:sz w:val="28"/>
          <w:szCs w:val="28"/>
        </w:rPr>
        <w:t xml:space="preserve">ày: </w:t>
      </w:r>
      <w:r w:rsidR="0031211B">
        <w:rPr>
          <w:b/>
          <w:sz w:val="28"/>
          <w:szCs w:val="28"/>
        </w:rPr>
        <w:t>20</w:t>
      </w:r>
      <w:r w:rsidR="00B834D0" w:rsidRPr="00B834D0">
        <w:rPr>
          <w:b/>
          <w:sz w:val="28"/>
          <w:szCs w:val="28"/>
        </w:rPr>
        <w:t xml:space="preserve"> tây tháng </w:t>
      </w:r>
      <w:r w:rsidR="0031211B">
        <w:rPr>
          <w:b/>
          <w:sz w:val="28"/>
          <w:szCs w:val="28"/>
        </w:rPr>
        <w:t>9</w:t>
      </w:r>
      <w:r w:rsidR="00B834D0" w:rsidRPr="00B834D0">
        <w:rPr>
          <w:b/>
          <w:sz w:val="28"/>
          <w:szCs w:val="28"/>
        </w:rPr>
        <w:t xml:space="preserve"> năm 2016</w:t>
      </w:r>
      <w:r w:rsidR="00850AFD">
        <w:rPr>
          <w:b/>
          <w:sz w:val="28"/>
          <w:szCs w:val="28"/>
        </w:rPr>
        <w:t>,</w:t>
      </w:r>
      <w:r w:rsidR="00686205" w:rsidRPr="00686205">
        <w:rPr>
          <w:b/>
          <w:sz w:val="28"/>
          <w:szCs w:val="28"/>
        </w:rPr>
        <w:t xml:space="preserve"> lúc 6 giờ chiều</w:t>
      </w:r>
    </w:p>
    <w:p w:rsidR="00EF1CEE" w:rsidRPr="00EF1CEE" w:rsidRDefault="00EF1CEE" w:rsidP="00932D4D">
      <w:pPr>
        <w:pStyle w:val="Default"/>
        <w:jc w:val="center"/>
        <w:rPr>
          <w:b/>
          <w:sz w:val="28"/>
          <w:szCs w:val="28"/>
        </w:rPr>
      </w:pPr>
    </w:p>
    <w:p w:rsidR="00850AFD" w:rsidRDefault="00850AFD" w:rsidP="00850AFD">
      <w:pPr>
        <w:pStyle w:val="Default"/>
        <w:jc w:val="center"/>
        <w:rPr>
          <w:b/>
          <w:sz w:val="28"/>
          <w:szCs w:val="28"/>
        </w:rPr>
      </w:pPr>
      <w:r w:rsidRPr="00850AFD">
        <w:rPr>
          <w:b/>
          <w:sz w:val="28"/>
          <w:szCs w:val="28"/>
        </w:rPr>
        <w:t xml:space="preserve">tại </w:t>
      </w:r>
    </w:p>
    <w:p w:rsidR="00850AFD" w:rsidRDefault="00850AFD" w:rsidP="00850AFD">
      <w:pPr>
        <w:pStyle w:val="Default"/>
        <w:jc w:val="center"/>
        <w:rPr>
          <w:b/>
          <w:sz w:val="28"/>
          <w:szCs w:val="28"/>
        </w:rPr>
      </w:pPr>
    </w:p>
    <w:p w:rsidR="00850AFD" w:rsidRPr="00850AFD" w:rsidRDefault="00850AFD" w:rsidP="00850AFD">
      <w:pPr>
        <w:pStyle w:val="Default"/>
        <w:jc w:val="center"/>
        <w:rPr>
          <w:b/>
          <w:sz w:val="28"/>
          <w:szCs w:val="28"/>
        </w:rPr>
      </w:pPr>
      <w:r w:rsidRPr="00850AFD">
        <w:rPr>
          <w:b/>
          <w:sz w:val="28"/>
          <w:szCs w:val="28"/>
        </w:rPr>
        <w:t>Trung Tâm Khu Vực Vùng San Gabriel Pomona</w:t>
      </w:r>
    </w:p>
    <w:p w:rsidR="00850AFD" w:rsidRDefault="00850AFD" w:rsidP="00850AFD">
      <w:pPr>
        <w:pStyle w:val="Default"/>
        <w:jc w:val="center"/>
        <w:rPr>
          <w:b/>
          <w:sz w:val="28"/>
          <w:szCs w:val="28"/>
        </w:rPr>
      </w:pPr>
      <w:r w:rsidRPr="00850AFD">
        <w:rPr>
          <w:b/>
          <w:sz w:val="28"/>
          <w:szCs w:val="28"/>
        </w:rPr>
        <w:t xml:space="preserve">75 Rancho Camino Dr., </w:t>
      </w:r>
    </w:p>
    <w:p w:rsidR="002C5811" w:rsidRDefault="00850AFD" w:rsidP="00850AFD">
      <w:pPr>
        <w:pStyle w:val="Default"/>
        <w:jc w:val="center"/>
        <w:rPr>
          <w:b/>
          <w:sz w:val="28"/>
          <w:szCs w:val="28"/>
        </w:rPr>
      </w:pPr>
      <w:r w:rsidRPr="00850AFD">
        <w:rPr>
          <w:b/>
          <w:sz w:val="28"/>
          <w:szCs w:val="28"/>
        </w:rPr>
        <w:t>Pomona, CA, 91766</w:t>
      </w:r>
    </w:p>
    <w:p w:rsidR="00850AFD" w:rsidRDefault="00850AFD" w:rsidP="00850AFD">
      <w:pPr>
        <w:pStyle w:val="Default"/>
        <w:jc w:val="center"/>
        <w:rPr>
          <w:b/>
          <w:sz w:val="28"/>
          <w:szCs w:val="28"/>
        </w:rPr>
      </w:pPr>
    </w:p>
    <w:p w:rsidR="00850AFD" w:rsidRPr="00EF1CEE" w:rsidRDefault="00850AFD" w:rsidP="00850AFD">
      <w:pPr>
        <w:pStyle w:val="Default"/>
        <w:jc w:val="center"/>
        <w:rPr>
          <w:sz w:val="28"/>
          <w:szCs w:val="28"/>
        </w:rPr>
      </w:pPr>
    </w:p>
    <w:p w:rsidR="002C5811" w:rsidRPr="00EF1CEE" w:rsidRDefault="00850AFD" w:rsidP="00932D4D">
      <w:pPr>
        <w:pStyle w:val="Default"/>
        <w:jc w:val="center"/>
        <w:rPr>
          <w:b/>
          <w:sz w:val="28"/>
          <w:szCs w:val="28"/>
        </w:rPr>
      </w:pPr>
      <w:r w:rsidRPr="00850AFD">
        <w:rPr>
          <w:b/>
          <w:sz w:val="28"/>
          <w:szCs w:val="28"/>
        </w:rPr>
        <w:t xml:space="preserve">Xin liên hệ: </w:t>
      </w:r>
      <w:r w:rsidR="004C4135" w:rsidRPr="00EF1CEE">
        <w:rPr>
          <w:b/>
          <w:sz w:val="28"/>
          <w:szCs w:val="28"/>
        </w:rPr>
        <w:t xml:space="preserve">Lucina Galarza, </w:t>
      </w:r>
      <w:r w:rsidR="00EA6647">
        <w:rPr>
          <w:b/>
          <w:sz w:val="28"/>
          <w:szCs w:val="28"/>
        </w:rPr>
        <w:t>Giám đốc dịch vụ khách hàng</w:t>
      </w:r>
    </w:p>
    <w:p w:rsidR="004C4135" w:rsidRPr="00EF1CEE" w:rsidRDefault="004C4135" w:rsidP="00932D4D">
      <w:pPr>
        <w:pStyle w:val="Default"/>
        <w:jc w:val="center"/>
        <w:rPr>
          <w:b/>
          <w:sz w:val="28"/>
          <w:szCs w:val="28"/>
        </w:rPr>
      </w:pPr>
      <w:r w:rsidRPr="00EF1CEE">
        <w:rPr>
          <w:b/>
          <w:sz w:val="28"/>
          <w:szCs w:val="28"/>
        </w:rPr>
        <w:t>(909) 868-7519</w:t>
      </w:r>
    </w:p>
    <w:p w:rsidR="004C4135" w:rsidRPr="00EF1CEE" w:rsidRDefault="004C4135" w:rsidP="00932D4D">
      <w:pPr>
        <w:pStyle w:val="Default"/>
        <w:jc w:val="center"/>
        <w:rPr>
          <w:b/>
          <w:sz w:val="28"/>
          <w:szCs w:val="28"/>
        </w:rPr>
      </w:pPr>
      <w:r w:rsidRPr="00EF1CEE">
        <w:rPr>
          <w:b/>
          <w:sz w:val="28"/>
          <w:szCs w:val="28"/>
        </w:rPr>
        <w:t>lgalarza@sgprc.org</w:t>
      </w:r>
    </w:p>
    <w:p w:rsidR="004C4135" w:rsidRPr="00EF1CEE" w:rsidRDefault="004C4135" w:rsidP="00932D4D">
      <w:pPr>
        <w:pStyle w:val="Default"/>
        <w:jc w:val="center"/>
        <w:rPr>
          <w:b/>
        </w:rPr>
      </w:pPr>
    </w:p>
    <w:p w:rsidR="00D74A69" w:rsidRDefault="000C1B17" w:rsidP="00EF1CEE">
      <w:pPr>
        <w:pStyle w:val="Default"/>
        <w:jc w:val="center"/>
      </w:pPr>
      <w:r>
        <w:rPr>
          <w:noProof/>
        </w:rPr>
        <mc:AlternateContent>
          <mc:Choice Requires="wps">
            <w:drawing>
              <wp:anchor distT="91440" distB="91440" distL="114300" distR="114300" simplePos="0" relativeHeight="251660288" behindDoc="0" locked="0" layoutInCell="0" allowOverlap="1">
                <wp:simplePos x="0" y="0"/>
                <wp:positionH relativeFrom="margin">
                  <wp:posOffset>487680</wp:posOffset>
                </wp:positionH>
                <wp:positionV relativeFrom="margin">
                  <wp:posOffset>5265420</wp:posOffset>
                </wp:positionV>
                <wp:extent cx="5255895" cy="2945130"/>
                <wp:effectExtent l="11430" t="17145" r="9525" b="952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255895" cy="294513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4C4135" w:rsidRPr="002C5811" w:rsidRDefault="00EA6647" w:rsidP="002C5811">
                            <w:pPr>
                              <w:numPr>
                                <w:ilvl w:val="0"/>
                                <w:numId w:val="2"/>
                              </w:numPr>
                            </w:pPr>
                            <w:r>
                              <w:t xml:space="preserve">Chương trình quyền tự quyết định là một sự lựa chọn tự nguyện mới và là một sự thay thế để cân đối dịch vụ của Regional Center.  Chương trình này sẽ dành cho 103 người khách hàng. </w:t>
                            </w:r>
                          </w:p>
                          <w:p w:rsidR="004C4135" w:rsidRDefault="00EA6647" w:rsidP="002C5811">
                            <w:pPr>
                              <w:numPr>
                                <w:ilvl w:val="0"/>
                                <w:numId w:val="2"/>
                              </w:numPr>
                            </w:pPr>
                            <w:r>
                              <w:t xml:space="preserve">Chương trình này sẽ cung cấp cho khách hàng và gia đình của họ có nhiều sự tự do, kiểm soát, và trách nhiệm trong việc lựa chọn dịch vụ và hỗ trợ để có thể giúp họ đáp ứng về Kế Hoạch Chương Trình Cá Nhân của họ. </w:t>
                            </w:r>
                            <w:r>
                              <w:rPr>
                                <w:rFonts w:ascii="Arial" w:hAnsi="Arial" w:cs="Arial"/>
                                <w:color w:val="000000"/>
                                <w:sz w:val="20"/>
                                <w:szCs w:val="20"/>
                                <w:shd w:val="clear" w:color="auto" w:fill="FCF5E6"/>
                              </w:rPr>
                              <w:t>(Individual Program Plan- IPP).</w:t>
                            </w:r>
                          </w:p>
                          <w:p w:rsidR="00850AFD" w:rsidRDefault="00850AFD" w:rsidP="002C5811">
                            <w:pPr>
                              <w:numPr>
                                <w:ilvl w:val="0"/>
                                <w:numId w:val="2"/>
                              </w:numPr>
                            </w:pPr>
                            <w:r w:rsidRPr="00850AFD">
                              <w:t xml:space="preserve">Tin cập nhật về SDP có thể được truy cập vào trang mạng của DDS tại đây </w:t>
                            </w:r>
                            <w:hyperlink r:id="rId6" w:history="1">
                              <w:r w:rsidRPr="00362801">
                                <w:rPr>
                                  <w:rStyle w:val="Hyperlink"/>
                                </w:rPr>
                                <w:t>www.dds.ca.gov\/SDP\/SDPUpdates.cfm</w:t>
                              </w:r>
                            </w:hyperlink>
                          </w:p>
                          <w:p w:rsidR="004C4135" w:rsidRPr="00EA6647" w:rsidRDefault="00850AFD" w:rsidP="00850AFD">
                            <w:pPr>
                              <w:pStyle w:val="ListParagraph"/>
                              <w:numPr>
                                <w:ilvl w:val="0"/>
                                <w:numId w:val="2"/>
                              </w:numPr>
                              <w:rPr>
                                <w:rFonts w:asciiTheme="minorHAnsi" w:hAnsiTheme="minorHAnsi"/>
                                <w:sz w:val="22"/>
                                <w:szCs w:val="22"/>
                              </w:rPr>
                            </w:pPr>
                            <w:r w:rsidRPr="00EA6647">
                              <w:rPr>
                                <w:rFonts w:asciiTheme="minorHAnsi" w:hAnsiTheme="minorHAnsi"/>
                                <w:sz w:val="22"/>
                                <w:szCs w:val="22"/>
                              </w:rPr>
                              <w:t>Các cuộc họp sẽ được mở cho người dân trong cộng đồng</w:t>
                            </w:r>
                          </w:p>
                          <w:p w:rsidR="004C4135" w:rsidRDefault="004C4135">
                            <w:pPr>
                              <w:rPr>
                                <w:color w:val="4F81BD"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left:0;text-align:left;margin-left:38.4pt;margin-top:414.6pt;width:413.85pt;height:231.9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" o:allowincell="f" filled="f" fillcolor="black [3213]" strokecolor="black [3213]" strokeweight="1.5pt">
                <v:shadow color="#f79646 [3209]" opacity=".5" offset="-15pt,0"/>
                <v:textbox inset="21.6pt,21.6pt,21.6pt,21.6pt">
                  <w:txbxContent>
                    <w:p w:rsidR="004C4135" w:rsidRPr="002C5811" w:rsidRDefault="00EA6647" w:rsidP="002C5811">
                      <w:pPr>
                        <w:numPr>
                          <w:ilvl w:val="0"/>
                          <w:numId w:val="2"/>
                        </w:numPr>
                      </w:pPr>
                      <w:r>
                        <w:t xml:space="preserve">Chương trình quyền tự quyết định là một sự lựa chọn tự nguyện mới và là một sự thay thế để cân đối dịch vụ của Regional Center.  Chương trình này sẽ dành cho 103 người khách hàng. </w:t>
                      </w:r>
                    </w:p>
                    <w:p w:rsidR="004C4135" w:rsidRDefault="00EA6647" w:rsidP="002C5811">
                      <w:pPr>
                        <w:numPr>
                          <w:ilvl w:val="0"/>
                          <w:numId w:val="2"/>
                        </w:numPr>
                      </w:pPr>
                      <w:r>
                        <w:t xml:space="preserve">Chương trình này sẽ cung cấp cho khách hàng và gia đình của họ có nhiều sự tự do, kiểm soát, và trách nhiệm trong việc lựa chọn dịch vụ và hỗ trợ để có thể giúp họ đáp ứng về Kế Hoạch Chương Trình Cá Nhân của họ. </w:t>
                      </w:r>
                      <w:r>
                        <w:rPr>
                          <w:rFonts w:ascii="Arial" w:hAnsi="Arial" w:cs="Arial"/>
                          <w:color w:val="000000"/>
                          <w:sz w:val="20"/>
                          <w:szCs w:val="20"/>
                          <w:shd w:val="clear" w:color="auto" w:fill="FCF5E6"/>
                        </w:rPr>
                        <w:t>(Individual Program Plan- IPP).</w:t>
                      </w:r>
                    </w:p>
                    <w:p w:rsidR="00850AFD" w:rsidRDefault="00850AFD" w:rsidP="002C5811">
                      <w:pPr>
                        <w:numPr>
                          <w:ilvl w:val="0"/>
                          <w:numId w:val="2"/>
                        </w:numPr>
                      </w:pPr>
                      <w:r w:rsidRPr="00850AFD">
                        <w:t xml:space="preserve">Tin cập nhật về SDP có thể được truy cập vào trang mạng của DDS tại đây </w:t>
                      </w:r>
                      <w:hyperlink r:id="rId7" w:history="1">
                        <w:r w:rsidRPr="00362801">
                          <w:rPr>
                            <w:rStyle w:val="Hyperlink"/>
                          </w:rPr>
                          <w:t>www.dds.ca.gov\/SDP\/SDPUpdates.cfm</w:t>
                        </w:r>
                      </w:hyperlink>
                    </w:p>
                    <w:p w:rsidR="004C4135" w:rsidRPr="00EA6647" w:rsidRDefault="00850AFD" w:rsidP="00850AFD">
                      <w:pPr>
                        <w:pStyle w:val="ListParagraph"/>
                        <w:numPr>
                          <w:ilvl w:val="0"/>
                          <w:numId w:val="2"/>
                        </w:numPr>
                        <w:rPr>
                          <w:rFonts w:asciiTheme="minorHAnsi" w:hAnsiTheme="minorHAnsi"/>
                          <w:sz w:val="22"/>
                          <w:szCs w:val="22"/>
                        </w:rPr>
                      </w:pPr>
                      <w:r w:rsidRPr="00EA6647">
                        <w:rPr>
                          <w:rFonts w:asciiTheme="minorHAnsi" w:hAnsiTheme="minorHAnsi"/>
                          <w:sz w:val="22"/>
                          <w:szCs w:val="22"/>
                        </w:rPr>
                        <w:t>Các cuộc họp sẽ được mở cho người dân trong cộng đồng</w:t>
                      </w:r>
                    </w:p>
                    <w:p w:rsidR="004C4135" w:rsidRDefault="004C4135">
                      <w:pPr>
                        <w:rPr>
                          <w:color w:val="4F81BD" w:themeColor="accent1"/>
                          <w:sz w:val="20"/>
                          <w:szCs w:val="20"/>
                        </w:rPr>
                      </w:pPr>
                    </w:p>
                  </w:txbxContent>
                </v:textbox>
                <w10:wrap type="square" anchorx="margin" anchory="margin"/>
              </v:rect>
            </w:pict>
          </mc:Fallback>
        </mc:AlternateContent>
      </w:r>
    </w:p>
    <w:sectPr w:rsidR="00D74A69" w:rsidSect="00EF1CEE">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D4E76"/>
    <w:multiLevelType w:val="hybridMultilevel"/>
    <w:tmpl w:val="799001CC"/>
    <w:lvl w:ilvl="0" w:tplc="6ABE7584">
      <w:start w:val="1"/>
      <w:numFmt w:val="bullet"/>
      <w:lvlText w:val=""/>
      <w:lvlJc w:val="left"/>
      <w:pPr>
        <w:tabs>
          <w:tab w:val="num" w:pos="720"/>
        </w:tabs>
        <w:ind w:left="720" w:hanging="360"/>
      </w:pPr>
      <w:rPr>
        <w:rFonts w:ascii="Wingdings 2" w:hAnsi="Wingdings 2" w:hint="default"/>
      </w:rPr>
    </w:lvl>
    <w:lvl w:ilvl="1" w:tplc="A2CE3156" w:tentative="1">
      <w:start w:val="1"/>
      <w:numFmt w:val="bullet"/>
      <w:lvlText w:val=""/>
      <w:lvlJc w:val="left"/>
      <w:pPr>
        <w:tabs>
          <w:tab w:val="num" w:pos="1440"/>
        </w:tabs>
        <w:ind w:left="1440" w:hanging="360"/>
      </w:pPr>
      <w:rPr>
        <w:rFonts w:ascii="Wingdings 2" w:hAnsi="Wingdings 2" w:hint="default"/>
      </w:rPr>
    </w:lvl>
    <w:lvl w:ilvl="2" w:tplc="21F89000" w:tentative="1">
      <w:start w:val="1"/>
      <w:numFmt w:val="bullet"/>
      <w:lvlText w:val=""/>
      <w:lvlJc w:val="left"/>
      <w:pPr>
        <w:tabs>
          <w:tab w:val="num" w:pos="2160"/>
        </w:tabs>
        <w:ind w:left="2160" w:hanging="360"/>
      </w:pPr>
      <w:rPr>
        <w:rFonts w:ascii="Wingdings 2" w:hAnsi="Wingdings 2" w:hint="default"/>
      </w:rPr>
    </w:lvl>
    <w:lvl w:ilvl="3" w:tplc="F350E44C" w:tentative="1">
      <w:start w:val="1"/>
      <w:numFmt w:val="bullet"/>
      <w:lvlText w:val=""/>
      <w:lvlJc w:val="left"/>
      <w:pPr>
        <w:tabs>
          <w:tab w:val="num" w:pos="2880"/>
        </w:tabs>
        <w:ind w:left="2880" w:hanging="360"/>
      </w:pPr>
      <w:rPr>
        <w:rFonts w:ascii="Wingdings 2" w:hAnsi="Wingdings 2" w:hint="default"/>
      </w:rPr>
    </w:lvl>
    <w:lvl w:ilvl="4" w:tplc="BD3E8D94" w:tentative="1">
      <w:start w:val="1"/>
      <w:numFmt w:val="bullet"/>
      <w:lvlText w:val=""/>
      <w:lvlJc w:val="left"/>
      <w:pPr>
        <w:tabs>
          <w:tab w:val="num" w:pos="3600"/>
        </w:tabs>
        <w:ind w:left="3600" w:hanging="360"/>
      </w:pPr>
      <w:rPr>
        <w:rFonts w:ascii="Wingdings 2" w:hAnsi="Wingdings 2" w:hint="default"/>
      </w:rPr>
    </w:lvl>
    <w:lvl w:ilvl="5" w:tplc="D50A8720" w:tentative="1">
      <w:start w:val="1"/>
      <w:numFmt w:val="bullet"/>
      <w:lvlText w:val=""/>
      <w:lvlJc w:val="left"/>
      <w:pPr>
        <w:tabs>
          <w:tab w:val="num" w:pos="4320"/>
        </w:tabs>
        <w:ind w:left="4320" w:hanging="360"/>
      </w:pPr>
      <w:rPr>
        <w:rFonts w:ascii="Wingdings 2" w:hAnsi="Wingdings 2" w:hint="default"/>
      </w:rPr>
    </w:lvl>
    <w:lvl w:ilvl="6" w:tplc="70B401A6" w:tentative="1">
      <w:start w:val="1"/>
      <w:numFmt w:val="bullet"/>
      <w:lvlText w:val=""/>
      <w:lvlJc w:val="left"/>
      <w:pPr>
        <w:tabs>
          <w:tab w:val="num" w:pos="5040"/>
        </w:tabs>
        <w:ind w:left="5040" w:hanging="360"/>
      </w:pPr>
      <w:rPr>
        <w:rFonts w:ascii="Wingdings 2" w:hAnsi="Wingdings 2" w:hint="default"/>
      </w:rPr>
    </w:lvl>
    <w:lvl w:ilvl="7" w:tplc="7F7A045E" w:tentative="1">
      <w:start w:val="1"/>
      <w:numFmt w:val="bullet"/>
      <w:lvlText w:val=""/>
      <w:lvlJc w:val="left"/>
      <w:pPr>
        <w:tabs>
          <w:tab w:val="num" w:pos="5760"/>
        </w:tabs>
        <w:ind w:left="5760" w:hanging="360"/>
      </w:pPr>
      <w:rPr>
        <w:rFonts w:ascii="Wingdings 2" w:hAnsi="Wingdings 2" w:hint="default"/>
      </w:rPr>
    </w:lvl>
    <w:lvl w:ilvl="8" w:tplc="DB0A972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714C52A3"/>
    <w:multiLevelType w:val="hybridMultilevel"/>
    <w:tmpl w:val="54FA4D3E"/>
    <w:lvl w:ilvl="0" w:tplc="EDAED2E4">
      <w:start w:val="1"/>
      <w:numFmt w:val="bullet"/>
      <w:lvlText w:val=""/>
      <w:lvlJc w:val="left"/>
      <w:pPr>
        <w:tabs>
          <w:tab w:val="num" w:pos="720"/>
        </w:tabs>
        <w:ind w:left="720" w:hanging="360"/>
      </w:pPr>
      <w:rPr>
        <w:rFonts w:ascii="Wingdings 2" w:hAnsi="Wingdings 2" w:hint="default"/>
      </w:rPr>
    </w:lvl>
    <w:lvl w:ilvl="1" w:tplc="19D6686E" w:tentative="1">
      <w:start w:val="1"/>
      <w:numFmt w:val="bullet"/>
      <w:lvlText w:val=""/>
      <w:lvlJc w:val="left"/>
      <w:pPr>
        <w:tabs>
          <w:tab w:val="num" w:pos="1440"/>
        </w:tabs>
        <w:ind w:left="1440" w:hanging="360"/>
      </w:pPr>
      <w:rPr>
        <w:rFonts w:ascii="Wingdings 2" w:hAnsi="Wingdings 2" w:hint="default"/>
      </w:rPr>
    </w:lvl>
    <w:lvl w:ilvl="2" w:tplc="A9D4ADC4" w:tentative="1">
      <w:start w:val="1"/>
      <w:numFmt w:val="bullet"/>
      <w:lvlText w:val=""/>
      <w:lvlJc w:val="left"/>
      <w:pPr>
        <w:tabs>
          <w:tab w:val="num" w:pos="2160"/>
        </w:tabs>
        <w:ind w:left="2160" w:hanging="360"/>
      </w:pPr>
      <w:rPr>
        <w:rFonts w:ascii="Wingdings 2" w:hAnsi="Wingdings 2" w:hint="default"/>
      </w:rPr>
    </w:lvl>
    <w:lvl w:ilvl="3" w:tplc="D83880BE" w:tentative="1">
      <w:start w:val="1"/>
      <w:numFmt w:val="bullet"/>
      <w:lvlText w:val=""/>
      <w:lvlJc w:val="left"/>
      <w:pPr>
        <w:tabs>
          <w:tab w:val="num" w:pos="2880"/>
        </w:tabs>
        <w:ind w:left="2880" w:hanging="360"/>
      </w:pPr>
      <w:rPr>
        <w:rFonts w:ascii="Wingdings 2" w:hAnsi="Wingdings 2" w:hint="default"/>
      </w:rPr>
    </w:lvl>
    <w:lvl w:ilvl="4" w:tplc="6D805C38" w:tentative="1">
      <w:start w:val="1"/>
      <w:numFmt w:val="bullet"/>
      <w:lvlText w:val=""/>
      <w:lvlJc w:val="left"/>
      <w:pPr>
        <w:tabs>
          <w:tab w:val="num" w:pos="3600"/>
        </w:tabs>
        <w:ind w:left="3600" w:hanging="360"/>
      </w:pPr>
      <w:rPr>
        <w:rFonts w:ascii="Wingdings 2" w:hAnsi="Wingdings 2" w:hint="default"/>
      </w:rPr>
    </w:lvl>
    <w:lvl w:ilvl="5" w:tplc="375E9C40" w:tentative="1">
      <w:start w:val="1"/>
      <w:numFmt w:val="bullet"/>
      <w:lvlText w:val=""/>
      <w:lvlJc w:val="left"/>
      <w:pPr>
        <w:tabs>
          <w:tab w:val="num" w:pos="4320"/>
        </w:tabs>
        <w:ind w:left="4320" w:hanging="360"/>
      </w:pPr>
      <w:rPr>
        <w:rFonts w:ascii="Wingdings 2" w:hAnsi="Wingdings 2" w:hint="default"/>
      </w:rPr>
    </w:lvl>
    <w:lvl w:ilvl="6" w:tplc="B444311A" w:tentative="1">
      <w:start w:val="1"/>
      <w:numFmt w:val="bullet"/>
      <w:lvlText w:val=""/>
      <w:lvlJc w:val="left"/>
      <w:pPr>
        <w:tabs>
          <w:tab w:val="num" w:pos="5040"/>
        </w:tabs>
        <w:ind w:left="5040" w:hanging="360"/>
      </w:pPr>
      <w:rPr>
        <w:rFonts w:ascii="Wingdings 2" w:hAnsi="Wingdings 2" w:hint="default"/>
      </w:rPr>
    </w:lvl>
    <w:lvl w:ilvl="7" w:tplc="151C5A08" w:tentative="1">
      <w:start w:val="1"/>
      <w:numFmt w:val="bullet"/>
      <w:lvlText w:val=""/>
      <w:lvlJc w:val="left"/>
      <w:pPr>
        <w:tabs>
          <w:tab w:val="num" w:pos="5760"/>
        </w:tabs>
        <w:ind w:left="5760" w:hanging="360"/>
      </w:pPr>
      <w:rPr>
        <w:rFonts w:ascii="Wingdings 2" w:hAnsi="Wingdings 2" w:hint="default"/>
      </w:rPr>
    </w:lvl>
    <w:lvl w:ilvl="8" w:tplc="3EFA5E4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AA"/>
    <w:rsid w:val="00095665"/>
    <w:rsid w:val="000C1B17"/>
    <w:rsid w:val="000C6390"/>
    <w:rsid w:val="00167EE2"/>
    <w:rsid w:val="0026067E"/>
    <w:rsid w:val="00262520"/>
    <w:rsid w:val="002C5811"/>
    <w:rsid w:val="002F77FF"/>
    <w:rsid w:val="0031211B"/>
    <w:rsid w:val="003855A7"/>
    <w:rsid w:val="003F7B8D"/>
    <w:rsid w:val="004C4135"/>
    <w:rsid w:val="005775DB"/>
    <w:rsid w:val="005C66AA"/>
    <w:rsid w:val="005E0A18"/>
    <w:rsid w:val="005F4285"/>
    <w:rsid w:val="00686205"/>
    <w:rsid w:val="00696A25"/>
    <w:rsid w:val="006B688B"/>
    <w:rsid w:val="00731F83"/>
    <w:rsid w:val="00775015"/>
    <w:rsid w:val="007915FF"/>
    <w:rsid w:val="00794E0B"/>
    <w:rsid w:val="00804D37"/>
    <w:rsid w:val="00847A69"/>
    <w:rsid w:val="00850AFD"/>
    <w:rsid w:val="00891865"/>
    <w:rsid w:val="00932D4D"/>
    <w:rsid w:val="009B40C2"/>
    <w:rsid w:val="00A372B3"/>
    <w:rsid w:val="00A7458D"/>
    <w:rsid w:val="00B834D0"/>
    <w:rsid w:val="00BB46D4"/>
    <w:rsid w:val="00C678F2"/>
    <w:rsid w:val="00C71741"/>
    <w:rsid w:val="00D363D2"/>
    <w:rsid w:val="00D74A69"/>
    <w:rsid w:val="00D80097"/>
    <w:rsid w:val="00E65A73"/>
    <w:rsid w:val="00E95B03"/>
    <w:rsid w:val="00EA6647"/>
    <w:rsid w:val="00EB686C"/>
    <w:rsid w:val="00EE6F97"/>
    <w:rsid w:val="00EF1CEE"/>
    <w:rsid w:val="00F51A16"/>
    <w:rsid w:val="00F631C4"/>
    <w:rsid w:val="00FA4362"/>
    <w:rsid w:val="00FC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BEF83-0F9D-4FA6-BF2A-23BD1B10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2D4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32D4D"/>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2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D4D"/>
    <w:rPr>
      <w:rFonts w:ascii="Tahoma" w:hAnsi="Tahoma" w:cs="Tahoma"/>
      <w:sz w:val="16"/>
      <w:szCs w:val="16"/>
    </w:rPr>
  </w:style>
  <w:style w:type="character" w:styleId="Hyperlink">
    <w:name w:val="Hyperlink"/>
    <w:basedOn w:val="DefaultParagraphFont"/>
    <w:uiPriority w:val="99"/>
    <w:unhideWhenUsed/>
    <w:rsid w:val="00850A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536203">
      <w:bodyDiv w:val="1"/>
      <w:marLeft w:val="0"/>
      <w:marRight w:val="0"/>
      <w:marTop w:val="0"/>
      <w:marBottom w:val="0"/>
      <w:divBdr>
        <w:top w:val="none" w:sz="0" w:space="0" w:color="auto"/>
        <w:left w:val="none" w:sz="0" w:space="0" w:color="auto"/>
        <w:bottom w:val="none" w:sz="0" w:space="0" w:color="auto"/>
        <w:right w:val="none" w:sz="0" w:space="0" w:color="auto"/>
      </w:divBdr>
      <w:divsChild>
        <w:div w:id="2002418616">
          <w:marLeft w:val="432"/>
          <w:marRight w:val="0"/>
          <w:marTop w:val="125"/>
          <w:marBottom w:val="0"/>
          <w:divBdr>
            <w:top w:val="none" w:sz="0" w:space="0" w:color="auto"/>
            <w:left w:val="none" w:sz="0" w:space="0" w:color="auto"/>
            <w:bottom w:val="none" w:sz="0" w:space="0" w:color="auto"/>
            <w:right w:val="none" w:sz="0" w:space="0" w:color="auto"/>
          </w:divBdr>
        </w:div>
        <w:div w:id="1777093461">
          <w:marLeft w:val="432"/>
          <w:marRight w:val="0"/>
          <w:marTop w:val="125"/>
          <w:marBottom w:val="0"/>
          <w:divBdr>
            <w:top w:val="none" w:sz="0" w:space="0" w:color="auto"/>
            <w:left w:val="none" w:sz="0" w:space="0" w:color="auto"/>
            <w:bottom w:val="none" w:sz="0" w:space="0" w:color="auto"/>
            <w:right w:val="none" w:sz="0" w:space="0" w:color="auto"/>
          </w:divBdr>
        </w:div>
      </w:divsChild>
    </w:div>
    <w:div w:id="1182013229">
      <w:bodyDiv w:val="1"/>
      <w:marLeft w:val="0"/>
      <w:marRight w:val="0"/>
      <w:marTop w:val="0"/>
      <w:marBottom w:val="0"/>
      <w:divBdr>
        <w:top w:val="none" w:sz="0" w:space="0" w:color="auto"/>
        <w:left w:val="none" w:sz="0" w:space="0" w:color="auto"/>
        <w:bottom w:val="none" w:sz="0" w:space="0" w:color="auto"/>
        <w:right w:val="none" w:sz="0" w:space="0" w:color="auto"/>
      </w:divBdr>
      <w:divsChild>
        <w:div w:id="98985439">
          <w:marLeft w:val="432"/>
          <w:marRight w:val="0"/>
          <w:marTop w:val="125"/>
          <w:marBottom w:val="0"/>
          <w:divBdr>
            <w:top w:val="none" w:sz="0" w:space="0" w:color="auto"/>
            <w:left w:val="none" w:sz="0" w:space="0" w:color="auto"/>
            <w:bottom w:val="none" w:sz="0" w:space="0" w:color="auto"/>
            <w:right w:val="none" w:sz="0" w:space="0" w:color="auto"/>
          </w:divBdr>
        </w:div>
        <w:div w:id="1378776941">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ds.ca.gov\/SDP\/SDPUpdate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ds.ca.gov\/SDP\/SDPUpdates.cf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lgalarza</dc:creator>
  <cp:lastModifiedBy>Pat Van</cp:lastModifiedBy>
  <cp:revision>2</cp:revision>
  <cp:lastPrinted>2015-09-02T23:06:00Z</cp:lastPrinted>
  <dcterms:created xsi:type="dcterms:W3CDTF">2016-10-31T20:38:00Z</dcterms:created>
  <dcterms:modified xsi:type="dcterms:W3CDTF">2016-10-31T20:38:00Z</dcterms:modified>
</cp:coreProperties>
</file>