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79" w:rsidRPr="00460079" w:rsidRDefault="00460079" w:rsidP="00460079">
      <w:pPr>
        <w:pStyle w:val="Heading1"/>
        <w:rPr>
          <w:lang w:val="en"/>
        </w:rPr>
      </w:pPr>
      <w:bookmarkStart w:id="0" w:name="_GoBack"/>
      <w:bookmarkEnd w:id="0"/>
      <w:r w:rsidRPr="00460079">
        <w:rPr>
          <w:lang w:val="en"/>
        </w:rPr>
        <w:t>How Many Earned Wages</w:t>
      </w:r>
    </w:p>
    <w:p w:rsidR="00460079" w:rsidRDefault="00460079" w:rsidP="00460079">
      <w:pPr>
        <w:rPr>
          <w:rFonts w:ascii="Arial" w:hAnsi="Arial" w:cs="Arial"/>
          <w:b/>
          <w:bCs/>
          <w:sz w:val="25"/>
          <w:szCs w:val="25"/>
          <w:lang w:val="en"/>
        </w:rPr>
      </w:pPr>
    </w:p>
    <w:p w:rsidR="00460079" w:rsidRPr="00FD1D79" w:rsidRDefault="00460079" w:rsidP="00460079">
      <w:pPr>
        <w:rPr>
          <w:rFonts w:ascii="Arial" w:hAnsi="Arial" w:cs="Arial"/>
          <w:sz w:val="25"/>
          <w:szCs w:val="25"/>
          <w:lang w:val="en"/>
        </w:rPr>
      </w:pPr>
      <w:r w:rsidRPr="00460079">
        <w:rPr>
          <w:rFonts w:ascii="Arial" w:hAnsi="Arial" w:cs="Arial"/>
          <w:b/>
          <w:bCs/>
          <w:sz w:val="25"/>
          <w:szCs w:val="25"/>
          <w:lang w:val="en"/>
        </w:rPr>
        <w:t>What this page shows us:</w:t>
      </w:r>
      <w:r w:rsidRPr="00460079">
        <w:rPr>
          <w:rFonts w:ascii="Arial" w:hAnsi="Arial" w:cs="Arial"/>
          <w:sz w:val="25"/>
          <w:szCs w:val="25"/>
          <w:lang w:val="en"/>
        </w:rPr>
        <w:t xml:space="preserve"> This page shows how many working age regional center clients have earned money in each of the last seven years. The number of people making money has gone up slightly over time, interrupted by the great recession in 2009 and 2010</w:t>
      </w:r>
      <w:r w:rsidRPr="00FD1D79">
        <w:rPr>
          <w:rFonts w:ascii="Arial" w:hAnsi="Arial" w:cs="Arial"/>
          <w:sz w:val="25"/>
          <w:szCs w:val="25"/>
          <w:lang w:val="en"/>
        </w:rPr>
        <w:t xml:space="preserve">. </w:t>
      </w:r>
      <w:r w:rsidR="00FD1D79">
        <w:rPr>
          <w:rFonts w:ascii="Arial" w:hAnsi="Arial" w:cs="Arial"/>
          <w:sz w:val="25"/>
          <w:szCs w:val="25"/>
          <w:lang w:val="en"/>
        </w:rPr>
        <w:t xml:space="preserve">However, </w:t>
      </w:r>
      <w:r w:rsidR="00FD1D79" w:rsidRPr="00FD1D79">
        <w:rPr>
          <w:rFonts w:ascii="Arial" w:hAnsi="Arial" w:cs="Arial"/>
          <w:sz w:val="25"/>
          <w:szCs w:val="25"/>
          <w:shd w:val="clear" w:color="auto" w:fill="FFFFFF"/>
        </w:rPr>
        <w:t>in 2012 the number of people making money was back down to the level of the recession.  Also, the percentage of working age regional center clients who do make money is still very small, only 12.4% in 2012. Even though the number of people with earnings is increasing slowly, the number of working age regional center clients has also been increasing.</w:t>
      </w:r>
    </w:p>
    <w:p w:rsidR="00460079" w:rsidRPr="00460079" w:rsidRDefault="005A1480" w:rsidP="005A1480">
      <w:pPr>
        <w:pStyle w:val="Heading2"/>
        <w:rPr>
          <w:rStyle w:val="Hyperlink"/>
          <w:rFonts w:ascii="Arial" w:hAnsi="Arial" w:cs="Arial"/>
          <w:b w:val="0"/>
          <w:bCs w:val="0"/>
          <w:sz w:val="25"/>
          <w:szCs w:val="25"/>
        </w:rPr>
      </w:pPr>
      <w:r>
        <w:rPr>
          <w:lang w:val="en"/>
        </w:rPr>
        <w:t>Table 1. Average Number of Consumers Receiving Wages</w:t>
      </w:r>
      <w:r w:rsidR="00460079" w:rsidRPr="00460079">
        <w:rPr>
          <w:lang w:val="en"/>
        </w:rPr>
        <w:fldChar w:fldCharType="begin"/>
      </w:r>
      <w:r w:rsidR="00460079" w:rsidRPr="00460079">
        <w:rPr>
          <w:lang w:val="en"/>
        </w:rPr>
        <w:instrText xml:space="preserve"> HYPERLINK "https://cms.portal.ca.gov/scdd/SiteEdit.aspx?p=5102" </w:instrText>
      </w:r>
      <w:r w:rsidR="00460079" w:rsidRPr="00460079">
        <w:rPr>
          <w:lang w:val="en"/>
        </w:rPr>
        <w:fldChar w:fldCharType="separate"/>
      </w:r>
    </w:p>
    <w:p w:rsidR="00460079" w:rsidRPr="00460079" w:rsidRDefault="00460079" w:rsidP="00460079">
      <w:pPr>
        <w:rPr>
          <w:rFonts w:ascii="Arial" w:hAnsi="Arial" w:cs="Arial"/>
          <w:sz w:val="25"/>
          <w:szCs w:val="25"/>
          <w:lang w:val="en"/>
        </w:rPr>
      </w:pPr>
      <w:r w:rsidRPr="00460079">
        <w:rPr>
          <w:rFonts w:ascii="Arial" w:hAnsi="Arial" w:cs="Arial"/>
          <w:sz w:val="25"/>
          <w:szCs w:val="25"/>
        </w:rPr>
        <w:fldChar w:fldCharType="end"/>
      </w:r>
    </w:p>
    <w:tbl>
      <w:tblPr>
        <w:tblW w:w="2760" w:type="dxa"/>
        <w:jc w:val="center"/>
        <w:tblCellMar>
          <w:left w:w="0" w:type="dxa"/>
          <w:right w:w="0" w:type="dxa"/>
        </w:tblCellMar>
        <w:tblLook w:val="04A0" w:firstRow="1" w:lastRow="0" w:firstColumn="1" w:lastColumn="0" w:noHBand="0" w:noVBand="1"/>
        <w:tblCaption w:val="Average Number of Consumers Receving Wages"/>
        <w:tblDescription w:val="Number consumers receiving wages between 2005 and 2012"/>
      </w:tblPr>
      <w:tblGrid>
        <w:gridCol w:w="1013"/>
        <w:gridCol w:w="1747"/>
      </w:tblGrid>
      <w:tr w:rsidR="00460079" w:rsidRPr="00460079" w:rsidTr="00FD1D79">
        <w:trPr>
          <w:trHeight w:val="675"/>
          <w:tblHeader/>
          <w:jc w:val="center"/>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75" w:type="dxa"/>
              <w:left w:w="0" w:type="dxa"/>
              <w:bottom w:w="75" w:type="dxa"/>
              <w:right w:w="0" w:type="dxa"/>
            </w:tcMar>
            <w:vAlign w:val="center"/>
            <w:hideMark/>
          </w:tcPr>
          <w:p w:rsidR="00460079" w:rsidRPr="00460079" w:rsidRDefault="00460079" w:rsidP="00460079">
            <w:pPr>
              <w:rPr>
                <w:rFonts w:ascii="Arial" w:hAnsi="Arial" w:cs="Arial"/>
                <w:b/>
                <w:bCs/>
                <w:sz w:val="25"/>
                <w:szCs w:val="25"/>
              </w:rPr>
            </w:pPr>
            <w:r w:rsidRPr="00460079">
              <w:rPr>
                <w:rFonts w:ascii="Arial" w:hAnsi="Arial" w:cs="Arial"/>
                <w:b/>
                <w:bCs/>
                <w:sz w:val="25"/>
                <w:szCs w:val="25"/>
              </w:rPr>
              <w:t>Year</w:t>
            </w: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75" w:type="dxa"/>
              <w:left w:w="0" w:type="dxa"/>
              <w:bottom w:w="75" w:type="dxa"/>
              <w:right w:w="0" w:type="dxa"/>
            </w:tcMar>
            <w:vAlign w:val="center"/>
            <w:hideMark/>
          </w:tcPr>
          <w:p w:rsidR="00460079" w:rsidRPr="00460079" w:rsidRDefault="00460079" w:rsidP="00460079">
            <w:pPr>
              <w:rPr>
                <w:rFonts w:ascii="Arial" w:hAnsi="Arial" w:cs="Arial"/>
                <w:b/>
                <w:bCs/>
                <w:sz w:val="25"/>
                <w:szCs w:val="25"/>
              </w:rPr>
            </w:pPr>
            <w:r w:rsidRPr="00460079">
              <w:rPr>
                <w:rFonts w:ascii="Arial" w:hAnsi="Arial" w:cs="Arial"/>
                <w:b/>
                <w:bCs/>
                <w:sz w:val="25"/>
                <w:szCs w:val="25"/>
              </w:rPr>
              <w:t>Average Number of Consumers Receiving Wages</w:t>
            </w:r>
          </w:p>
        </w:tc>
      </w:tr>
      <w:tr w:rsidR="00460079" w:rsidRPr="00460079" w:rsidTr="00460079">
        <w:trPr>
          <w:trHeight w:val="270"/>
          <w:jc w:val="center"/>
        </w:trPr>
        <w:tc>
          <w:tcPr>
            <w:tcW w:w="0" w:type="auto"/>
            <w:tcBorders>
              <w:top w:val="nil"/>
              <w:left w:val="single" w:sz="8" w:space="0" w:color="auto"/>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2005</w:t>
            </w:r>
          </w:p>
        </w:tc>
        <w:tc>
          <w:tcPr>
            <w:tcW w:w="0" w:type="auto"/>
            <w:tcBorders>
              <w:top w:val="nil"/>
              <w:left w:val="nil"/>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15,687</w:t>
            </w:r>
          </w:p>
        </w:tc>
      </w:tr>
      <w:tr w:rsidR="00460079" w:rsidRPr="00460079" w:rsidTr="00460079">
        <w:trPr>
          <w:trHeight w:val="270"/>
          <w:jc w:val="center"/>
        </w:trPr>
        <w:tc>
          <w:tcPr>
            <w:tcW w:w="0" w:type="auto"/>
            <w:tcBorders>
              <w:top w:val="nil"/>
              <w:left w:val="single" w:sz="8" w:space="0" w:color="auto"/>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2006</w:t>
            </w:r>
          </w:p>
        </w:tc>
        <w:tc>
          <w:tcPr>
            <w:tcW w:w="0" w:type="auto"/>
            <w:tcBorders>
              <w:top w:val="nil"/>
              <w:left w:val="nil"/>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15,864</w:t>
            </w:r>
          </w:p>
        </w:tc>
      </w:tr>
      <w:tr w:rsidR="00460079" w:rsidRPr="00460079" w:rsidTr="00460079">
        <w:trPr>
          <w:trHeight w:val="270"/>
          <w:jc w:val="center"/>
        </w:trPr>
        <w:tc>
          <w:tcPr>
            <w:tcW w:w="0" w:type="auto"/>
            <w:tcBorders>
              <w:top w:val="nil"/>
              <w:left w:val="single" w:sz="8" w:space="0" w:color="auto"/>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2007</w:t>
            </w:r>
          </w:p>
        </w:tc>
        <w:tc>
          <w:tcPr>
            <w:tcW w:w="0" w:type="auto"/>
            <w:tcBorders>
              <w:top w:val="nil"/>
              <w:left w:val="nil"/>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16,335</w:t>
            </w:r>
          </w:p>
        </w:tc>
      </w:tr>
      <w:tr w:rsidR="00460079" w:rsidRPr="00460079" w:rsidTr="00460079">
        <w:trPr>
          <w:trHeight w:val="270"/>
          <w:jc w:val="center"/>
        </w:trPr>
        <w:tc>
          <w:tcPr>
            <w:tcW w:w="0" w:type="auto"/>
            <w:tcBorders>
              <w:top w:val="nil"/>
              <w:left w:val="single" w:sz="8" w:space="0" w:color="auto"/>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2008</w:t>
            </w:r>
          </w:p>
        </w:tc>
        <w:tc>
          <w:tcPr>
            <w:tcW w:w="0" w:type="auto"/>
            <w:tcBorders>
              <w:top w:val="nil"/>
              <w:left w:val="nil"/>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17,346</w:t>
            </w:r>
          </w:p>
        </w:tc>
      </w:tr>
      <w:tr w:rsidR="00460079" w:rsidRPr="00460079" w:rsidTr="00460079">
        <w:trPr>
          <w:trHeight w:val="270"/>
          <w:jc w:val="center"/>
        </w:trPr>
        <w:tc>
          <w:tcPr>
            <w:tcW w:w="0" w:type="auto"/>
            <w:tcBorders>
              <w:top w:val="nil"/>
              <w:left w:val="single" w:sz="8" w:space="0" w:color="auto"/>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2009</w:t>
            </w:r>
          </w:p>
        </w:tc>
        <w:tc>
          <w:tcPr>
            <w:tcW w:w="0" w:type="auto"/>
            <w:tcBorders>
              <w:top w:val="nil"/>
              <w:left w:val="nil"/>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17,142</w:t>
            </w:r>
          </w:p>
        </w:tc>
      </w:tr>
      <w:tr w:rsidR="00460079" w:rsidRPr="00460079" w:rsidTr="00460079">
        <w:trPr>
          <w:trHeight w:val="270"/>
          <w:jc w:val="center"/>
        </w:trPr>
        <w:tc>
          <w:tcPr>
            <w:tcW w:w="0" w:type="auto"/>
            <w:tcBorders>
              <w:top w:val="nil"/>
              <w:left w:val="single" w:sz="8" w:space="0" w:color="auto"/>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2010</w:t>
            </w:r>
          </w:p>
        </w:tc>
        <w:tc>
          <w:tcPr>
            <w:tcW w:w="0" w:type="auto"/>
            <w:tcBorders>
              <w:top w:val="nil"/>
              <w:left w:val="nil"/>
              <w:bottom w:val="single" w:sz="8"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17,242</w:t>
            </w:r>
          </w:p>
        </w:tc>
      </w:tr>
      <w:tr w:rsidR="00460079" w:rsidRPr="00460079" w:rsidTr="00FD1D79">
        <w:trPr>
          <w:trHeight w:val="270"/>
          <w:jc w:val="center"/>
        </w:trPr>
        <w:tc>
          <w:tcPr>
            <w:tcW w:w="0" w:type="auto"/>
            <w:tcBorders>
              <w:top w:val="nil"/>
              <w:left w:val="single" w:sz="8" w:space="0" w:color="auto"/>
              <w:bottom w:val="single" w:sz="4"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2011</w:t>
            </w:r>
          </w:p>
        </w:tc>
        <w:tc>
          <w:tcPr>
            <w:tcW w:w="0" w:type="auto"/>
            <w:tcBorders>
              <w:top w:val="nil"/>
              <w:left w:val="nil"/>
              <w:bottom w:val="single" w:sz="4" w:space="0" w:color="auto"/>
              <w:right w:val="single" w:sz="8" w:space="0" w:color="auto"/>
            </w:tcBorders>
            <w:vAlign w:val="center"/>
            <w:hideMark/>
          </w:tcPr>
          <w:p w:rsidR="00460079" w:rsidRPr="00460079" w:rsidRDefault="00460079" w:rsidP="00460079">
            <w:pPr>
              <w:rPr>
                <w:rFonts w:ascii="Arial" w:hAnsi="Arial" w:cs="Arial"/>
                <w:sz w:val="25"/>
                <w:szCs w:val="25"/>
              </w:rPr>
            </w:pPr>
            <w:r w:rsidRPr="00460079">
              <w:rPr>
                <w:rFonts w:ascii="Arial" w:hAnsi="Arial" w:cs="Arial"/>
                <w:b/>
                <w:bCs/>
                <w:sz w:val="25"/>
                <w:szCs w:val="25"/>
              </w:rPr>
              <w:t>17,870</w:t>
            </w:r>
          </w:p>
        </w:tc>
      </w:tr>
      <w:tr w:rsidR="00FD1D79" w:rsidRPr="00460079" w:rsidTr="00FD1D79">
        <w:trPr>
          <w:trHeight w:val="270"/>
          <w:jc w:val="center"/>
        </w:trPr>
        <w:tc>
          <w:tcPr>
            <w:tcW w:w="0" w:type="auto"/>
            <w:tcBorders>
              <w:top w:val="single" w:sz="4" w:space="0" w:color="auto"/>
              <w:left w:val="single" w:sz="8" w:space="0" w:color="auto"/>
              <w:bottom w:val="single" w:sz="8" w:space="0" w:color="auto"/>
              <w:right w:val="single" w:sz="8" w:space="0" w:color="auto"/>
            </w:tcBorders>
            <w:vAlign w:val="center"/>
          </w:tcPr>
          <w:p w:rsidR="00FD1D79" w:rsidRPr="00460079" w:rsidRDefault="00FD1D79" w:rsidP="00460079">
            <w:pPr>
              <w:rPr>
                <w:rFonts w:ascii="Arial" w:hAnsi="Arial" w:cs="Arial"/>
                <w:b/>
                <w:bCs/>
                <w:sz w:val="25"/>
                <w:szCs w:val="25"/>
              </w:rPr>
            </w:pPr>
            <w:r>
              <w:rPr>
                <w:rFonts w:ascii="Arial" w:hAnsi="Arial" w:cs="Arial"/>
                <w:b/>
                <w:bCs/>
                <w:sz w:val="25"/>
                <w:szCs w:val="25"/>
              </w:rPr>
              <w:t>2012</w:t>
            </w:r>
          </w:p>
        </w:tc>
        <w:tc>
          <w:tcPr>
            <w:tcW w:w="0" w:type="auto"/>
            <w:tcBorders>
              <w:top w:val="single" w:sz="4" w:space="0" w:color="auto"/>
              <w:left w:val="nil"/>
              <w:bottom w:val="single" w:sz="8" w:space="0" w:color="auto"/>
              <w:right w:val="single" w:sz="8" w:space="0" w:color="auto"/>
            </w:tcBorders>
            <w:vAlign w:val="center"/>
          </w:tcPr>
          <w:p w:rsidR="00FD1D79" w:rsidRPr="00460079" w:rsidRDefault="00FD1D79" w:rsidP="00460079">
            <w:pPr>
              <w:rPr>
                <w:rFonts w:ascii="Arial" w:hAnsi="Arial" w:cs="Arial"/>
                <w:b/>
                <w:bCs/>
                <w:sz w:val="25"/>
                <w:szCs w:val="25"/>
              </w:rPr>
            </w:pPr>
            <w:r>
              <w:rPr>
                <w:rFonts w:ascii="Arial" w:hAnsi="Arial" w:cs="Arial"/>
                <w:b/>
                <w:bCs/>
                <w:sz w:val="25"/>
                <w:szCs w:val="25"/>
              </w:rPr>
              <w:t>17,238</w:t>
            </w:r>
          </w:p>
        </w:tc>
      </w:tr>
    </w:tbl>
    <w:p w:rsidR="00460079" w:rsidRPr="00460079" w:rsidRDefault="00460079" w:rsidP="00460079">
      <w:pPr>
        <w:jc w:val="center"/>
        <w:rPr>
          <w:rFonts w:ascii="Arial" w:hAnsi="Arial" w:cs="Arial"/>
          <w:sz w:val="25"/>
          <w:szCs w:val="25"/>
          <w:lang w:val="en"/>
        </w:rPr>
      </w:pPr>
    </w:p>
    <w:p w:rsidR="00460079" w:rsidRDefault="00460079" w:rsidP="00460079">
      <w:pPr>
        <w:rPr>
          <w:rFonts w:ascii="Arial" w:hAnsi="Arial" w:cs="Arial"/>
          <w:sz w:val="25"/>
          <w:szCs w:val="25"/>
        </w:rPr>
      </w:pPr>
    </w:p>
    <w:p w:rsidR="00460079" w:rsidRPr="00460079" w:rsidRDefault="00460079" w:rsidP="00460079">
      <w:pPr>
        <w:jc w:val="center"/>
        <w:rPr>
          <w:rStyle w:val="Hyperlink"/>
          <w:rFonts w:ascii="Arial" w:hAnsi="Arial" w:cs="Arial"/>
          <w:b/>
          <w:bCs/>
          <w:sz w:val="25"/>
          <w:szCs w:val="25"/>
        </w:rPr>
      </w:pPr>
      <w:r w:rsidRPr="00460079">
        <w:rPr>
          <w:rFonts w:ascii="Arial" w:hAnsi="Arial" w:cs="Arial"/>
          <w:noProof/>
          <w:sz w:val="25"/>
          <w:szCs w:val="25"/>
        </w:rPr>
        <w:lastRenderedPageBreak/>
        <w:drawing>
          <wp:inline distT="0" distB="0" distL="0" distR="0" wp14:anchorId="4782A34B" wp14:editId="79BF508E">
            <wp:extent cx="3885329" cy="3018817"/>
            <wp:effectExtent l="0" t="0" r="1270" b="0"/>
            <wp:docPr id="2" name="Picture 2" descr="Bar Graph illustrating the number of consumers receiving wages between 2005 and 2012" title="How Many Earned Wage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quot;&quot;"/>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885329" cy="3018817"/>
                    </a:xfrm>
                    <a:prstGeom prst="rect">
                      <a:avLst/>
                    </a:prstGeom>
                    <a:noFill/>
                    <a:ln>
                      <a:noFill/>
                    </a:ln>
                  </pic:spPr>
                </pic:pic>
              </a:graphicData>
            </a:graphic>
          </wp:inline>
        </w:drawing>
      </w:r>
      <w:r w:rsidRPr="00460079">
        <w:rPr>
          <w:rFonts w:ascii="Arial" w:hAnsi="Arial" w:cs="Arial"/>
          <w:b/>
          <w:bCs/>
          <w:sz w:val="25"/>
          <w:szCs w:val="25"/>
          <w:lang w:val="en"/>
        </w:rPr>
        <w:fldChar w:fldCharType="begin"/>
      </w:r>
      <w:r w:rsidRPr="00460079">
        <w:rPr>
          <w:rFonts w:ascii="Arial" w:hAnsi="Arial" w:cs="Arial"/>
          <w:b/>
          <w:bCs/>
          <w:sz w:val="25"/>
          <w:szCs w:val="25"/>
          <w:lang w:val="en"/>
        </w:rPr>
        <w:instrText xml:space="preserve"> HYPERLINK "https://cms.portal.ca.gov/scdd/SiteEdit.aspx?p=5102" </w:instrText>
      </w:r>
      <w:r w:rsidRPr="00460079">
        <w:rPr>
          <w:rFonts w:ascii="Arial" w:hAnsi="Arial" w:cs="Arial"/>
          <w:b/>
          <w:bCs/>
          <w:sz w:val="25"/>
          <w:szCs w:val="25"/>
          <w:lang w:val="en"/>
        </w:rPr>
        <w:fldChar w:fldCharType="separate"/>
      </w:r>
    </w:p>
    <w:p w:rsidR="00460079" w:rsidRPr="00460079" w:rsidRDefault="00460079" w:rsidP="00460079">
      <w:pPr>
        <w:rPr>
          <w:rFonts w:ascii="Arial" w:hAnsi="Arial" w:cs="Arial"/>
          <w:sz w:val="25"/>
          <w:szCs w:val="25"/>
          <w:lang w:val="en"/>
        </w:rPr>
      </w:pPr>
      <w:r w:rsidRPr="00460079">
        <w:rPr>
          <w:rFonts w:ascii="Arial" w:hAnsi="Arial" w:cs="Arial"/>
          <w:sz w:val="25"/>
          <w:szCs w:val="25"/>
        </w:rPr>
        <w:fldChar w:fldCharType="end"/>
      </w:r>
    </w:p>
    <w:p w:rsidR="00460079" w:rsidRPr="00460079" w:rsidRDefault="00470F77" w:rsidP="00460079">
      <w:pPr>
        <w:rPr>
          <w:rFonts w:ascii="Arial" w:hAnsi="Arial" w:cs="Arial"/>
          <w:sz w:val="25"/>
          <w:szCs w:val="25"/>
          <w:lang w:val="en"/>
        </w:rPr>
      </w:pPr>
      <w:r>
        <w:rPr>
          <w:rFonts w:ascii="Arial" w:hAnsi="Arial" w:cs="Arial"/>
          <w:sz w:val="25"/>
          <w:szCs w:val="25"/>
          <w:lang w:val="en"/>
        </w:rPr>
        <w:pict>
          <v:rect id="_x0000_i1025" style="width:0;height:1.5pt" o:hralign="center" o:hrstd="t" o:hr="t" fillcolor="gray" stroked="f"/>
        </w:pict>
      </w:r>
    </w:p>
    <w:p w:rsidR="003D2FBB" w:rsidRPr="00460079" w:rsidRDefault="0043219E" w:rsidP="00460079">
      <w:pPr>
        <w:pBdr>
          <w:bottom w:val="single" w:sz="4" w:space="1" w:color="auto"/>
        </w:pBdr>
        <w:rPr>
          <w:rFonts w:ascii="Arial" w:hAnsi="Arial" w:cs="Arial"/>
          <w:sz w:val="25"/>
          <w:szCs w:val="25"/>
        </w:rPr>
      </w:pPr>
      <w:r>
        <w:rPr>
          <w:rFonts w:ascii="Arial" w:hAnsi="Arial" w:cs="Arial"/>
          <w:color w:val="505050"/>
          <w:sz w:val="19"/>
          <w:szCs w:val="19"/>
          <w:shd w:val="clear" w:color="auto" w:fill="FFFFFF"/>
        </w:rPr>
        <w:t>Footnote: The data is from Employment Development Department (EDD). California EDD data reflects the average number of consumers reporting to EDD for the purpose of Unemployment Insurance, a limitation of the data as some people have contract earnings that are unreported. End of footnote.</w:t>
      </w:r>
      <w:r w:rsidR="00460079" w:rsidRPr="00460079">
        <w:rPr>
          <w:rFonts w:ascii="Arial" w:hAnsi="Arial" w:cs="Arial"/>
          <w:sz w:val="25"/>
          <w:szCs w:val="25"/>
          <w:lang w:val="en"/>
        </w:rPr>
        <w:t>.</w:t>
      </w:r>
    </w:p>
    <w:sectPr w:rsidR="003D2FBB" w:rsidRPr="00460079" w:rsidSect="0046007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4bnV6O6v2kw8rMkSYbYxIZhZfU=" w:salt="XweKc4BoIlsslD3sJW8C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79"/>
    <w:rsid w:val="00144E76"/>
    <w:rsid w:val="003D2FBB"/>
    <w:rsid w:val="0043219E"/>
    <w:rsid w:val="00460079"/>
    <w:rsid w:val="00470F77"/>
    <w:rsid w:val="005A1480"/>
    <w:rsid w:val="006215B0"/>
    <w:rsid w:val="00774ACA"/>
    <w:rsid w:val="009B034A"/>
    <w:rsid w:val="00B03460"/>
    <w:rsid w:val="00C5370B"/>
    <w:rsid w:val="00DB0B39"/>
    <w:rsid w:val="00F91737"/>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E701E-4C02-4457-B0E8-0AD0B1C0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480"/>
    <w:pPr>
      <w:keepNext/>
      <w:keepLines/>
      <w:spacing w:before="48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5A1480"/>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480"/>
    <w:rPr>
      <w:rFonts w:asciiTheme="majorHAnsi" w:eastAsiaTheme="majorEastAsia" w:hAnsiTheme="majorHAnsi" w:cstheme="majorBidi"/>
      <w:b/>
      <w:bCs/>
      <w:sz w:val="36"/>
      <w:szCs w:val="28"/>
    </w:rPr>
  </w:style>
  <w:style w:type="character" w:styleId="Hyperlink">
    <w:name w:val="Hyperlink"/>
    <w:basedOn w:val="DefaultParagraphFont"/>
    <w:uiPriority w:val="99"/>
    <w:unhideWhenUsed/>
    <w:rsid w:val="00460079"/>
    <w:rPr>
      <w:color w:val="0000FF" w:themeColor="hyperlink"/>
      <w:u w:val="single"/>
    </w:rPr>
  </w:style>
  <w:style w:type="paragraph" w:styleId="BalloonText">
    <w:name w:val="Balloon Text"/>
    <w:basedOn w:val="Normal"/>
    <w:link w:val="BalloonTextChar"/>
    <w:uiPriority w:val="99"/>
    <w:semiHidden/>
    <w:unhideWhenUsed/>
    <w:rsid w:val="00460079"/>
    <w:rPr>
      <w:rFonts w:ascii="Tahoma" w:hAnsi="Tahoma" w:cs="Tahoma"/>
      <w:sz w:val="16"/>
      <w:szCs w:val="16"/>
    </w:rPr>
  </w:style>
  <w:style w:type="character" w:customStyle="1" w:styleId="BalloonTextChar">
    <w:name w:val="Balloon Text Char"/>
    <w:basedOn w:val="DefaultParagraphFont"/>
    <w:link w:val="BalloonText"/>
    <w:uiPriority w:val="99"/>
    <w:semiHidden/>
    <w:rsid w:val="00460079"/>
    <w:rPr>
      <w:rFonts w:ascii="Tahoma" w:hAnsi="Tahoma" w:cs="Tahoma"/>
      <w:sz w:val="16"/>
      <w:szCs w:val="16"/>
    </w:rPr>
  </w:style>
  <w:style w:type="character" w:customStyle="1" w:styleId="Heading2Char">
    <w:name w:val="Heading 2 Char"/>
    <w:basedOn w:val="DefaultParagraphFont"/>
    <w:link w:val="Heading2"/>
    <w:uiPriority w:val="9"/>
    <w:rsid w:val="005A1480"/>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4066">
      <w:bodyDiv w:val="1"/>
      <w:marLeft w:val="0"/>
      <w:marRight w:val="0"/>
      <w:marTop w:val="0"/>
      <w:marBottom w:val="0"/>
      <w:divBdr>
        <w:top w:val="none" w:sz="0" w:space="0" w:color="auto"/>
        <w:left w:val="none" w:sz="0" w:space="0" w:color="auto"/>
        <w:bottom w:val="none" w:sz="0" w:space="0" w:color="auto"/>
        <w:right w:val="none" w:sz="0" w:space="0" w:color="auto"/>
      </w:divBdr>
      <w:divsChild>
        <w:div w:id="2088071660">
          <w:marLeft w:val="0"/>
          <w:marRight w:val="0"/>
          <w:marTop w:val="0"/>
          <w:marBottom w:val="0"/>
          <w:divBdr>
            <w:top w:val="none" w:sz="0" w:space="0" w:color="auto"/>
            <w:left w:val="none" w:sz="0" w:space="0" w:color="auto"/>
            <w:bottom w:val="none" w:sz="0" w:space="0" w:color="auto"/>
            <w:right w:val="none" w:sz="0" w:space="0" w:color="auto"/>
          </w:divBdr>
          <w:divsChild>
            <w:div w:id="763766510">
              <w:marLeft w:val="0"/>
              <w:marRight w:val="0"/>
              <w:marTop w:val="0"/>
              <w:marBottom w:val="0"/>
              <w:divBdr>
                <w:top w:val="none" w:sz="0" w:space="0" w:color="auto"/>
                <w:left w:val="none" w:sz="0" w:space="0" w:color="auto"/>
                <w:bottom w:val="none" w:sz="0" w:space="0" w:color="auto"/>
                <w:right w:val="none" w:sz="0" w:space="0" w:color="auto"/>
              </w:divBdr>
              <w:divsChild>
                <w:div w:id="215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cp:lastPrinted>2015-06-10T16:45:00Z</cp:lastPrinted>
  <dcterms:created xsi:type="dcterms:W3CDTF">2016-10-20T21:20:00Z</dcterms:created>
  <dcterms:modified xsi:type="dcterms:W3CDTF">2016-10-20T21:20:00Z</dcterms:modified>
</cp:coreProperties>
</file>