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948" w:rsidRPr="00560948" w:rsidRDefault="00560948" w:rsidP="00560948">
      <w:pPr>
        <w:pStyle w:val="Heading1"/>
        <w:rPr>
          <w:lang w:val="en"/>
        </w:rPr>
      </w:pPr>
      <w:bookmarkStart w:id="0" w:name="_GoBack"/>
      <w:bookmarkEnd w:id="0"/>
      <w:r w:rsidRPr="00560948">
        <w:rPr>
          <w:lang w:val="en"/>
        </w:rPr>
        <w:t xml:space="preserve">Average Monthly Earnings </w:t>
      </w:r>
    </w:p>
    <w:p w:rsidR="00560948" w:rsidRDefault="00560948" w:rsidP="00560948">
      <w:pPr>
        <w:rPr>
          <w:rFonts w:ascii="Arial" w:hAnsi="Arial" w:cs="Arial"/>
          <w:sz w:val="25"/>
          <w:szCs w:val="25"/>
          <w:lang w:val="en"/>
        </w:rPr>
      </w:pPr>
    </w:p>
    <w:p w:rsidR="00560948" w:rsidRPr="00560948" w:rsidRDefault="00560948" w:rsidP="00560948">
      <w:pPr>
        <w:rPr>
          <w:rFonts w:ascii="Arial" w:hAnsi="Arial" w:cs="Arial"/>
          <w:sz w:val="25"/>
          <w:szCs w:val="25"/>
          <w:lang w:val="en"/>
        </w:rPr>
      </w:pPr>
      <w:r w:rsidRPr="00560948">
        <w:rPr>
          <w:rFonts w:ascii="Arial" w:hAnsi="Arial" w:cs="Arial"/>
          <w:sz w:val="25"/>
          <w:szCs w:val="25"/>
          <w:lang w:val="en"/>
        </w:rPr>
        <w:t xml:space="preserve">For those regional center clients who did receive a pay check, the table and chart below shows their average monthly earnings over the last </w:t>
      </w:r>
      <w:r w:rsidR="002515E5">
        <w:rPr>
          <w:rFonts w:ascii="Arial" w:hAnsi="Arial" w:cs="Arial"/>
          <w:sz w:val="25"/>
          <w:szCs w:val="25"/>
          <w:lang w:val="en"/>
        </w:rPr>
        <w:t>eight</w:t>
      </w:r>
      <w:r w:rsidRPr="00560948">
        <w:rPr>
          <w:rFonts w:ascii="Arial" w:hAnsi="Arial" w:cs="Arial"/>
          <w:sz w:val="25"/>
          <w:szCs w:val="25"/>
          <w:lang w:val="en"/>
        </w:rPr>
        <w:t xml:space="preserve"> years. </w:t>
      </w:r>
    </w:p>
    <w:p w:rsidR="00560948" w:rsidRDefault="00560948" w:rsidP="00560948">
      <w:pPr>
        <w:rPr>
          <w:rFonts w:ascii="Arial" w:hAnsi="Arial" w:cs="Arial"/>
          <w:b/>
          <w:bCs/>
          <w:sz w:val="25"/>
          <w:szCs w:val="25"/>
          <w:lang w:val="en"/>
        </w:rPr>
      </w:pPr>
    </w:p>
    <w:p w:rsidR="00560948" w:rsidRDefault="00560948" w:rsidP="00560948">
      <w:pPr>
        <w:rPr>
          <w:rFonts w:ascii="Arial" w:hAnsi="Arial" w:cs="Arial"/>
          <w:sz w:val="25"/>
          <w:szCs w:val="25"/>
          <w:lang w:val="en"/>
        </w:rPr>
      </w:pPr>
      <w:r w:rsidRPr="00560948">
        <w:rPr>
          <w:rFonts w:ascii="Arial" w:hAnsi="Arial" w:cs="Arial"/>
          <w:b/>
          <w:bCs/>
          <w:sz w:val="25"/>
          <w:szCs w:val="25"/>
          <w:lang w:val="en"/>
        </w:rPr>
        <w:t>What this page shows us:</w:t>
      </w:r>
      <w:r w:rsidRPr="00560948">
        <w:rPr>
          <w:rFonts w:ascii="Arial" w:hAnsi="Arial" w:cs="Arial"/>
          <w:sz w:val="25"/>
          <w:szCs w:val="25"/>
          <w:lang w:val="en"/>
        </w:rPr>
        <w:t xml:space="preserve"> Even regional center consumers who are making money appear to be under-employed, as their average earnings are very low. </w:t>
      </w:r>
    </w:p>
    <w:p w:rsidR="002515E5" w:rsidRDefault="002515E5" w:rsidP="00560948">
      <w:pPr>
        <w:rPr>
          <w:rFonts w:ascii="Arial" w:hAnsi="Arial" w:cs="Arial"/>
          <w:sz w:val="25"/>
          <w:szCs w:val="25"/>
          <w:lang w:val="en"/>
        </w:rPr>
      </w:pPr>
    </w:p>
    <w:p w:rsidR="002515E5" w:rsidRPr="002515E5" w:rsidRDefault="002515E5" w:rsidP="002515E5">
      <w:pPr>
        <w:rPr>
          <w:rFonts w:ascii="Arial" w:hAnsi="Arial" w:cs="Arial"/>
          <w:sz w:val="25"/>
          <w:szCs w:val="25"/>
          <w:lang w:val="en"/>
        </w:rPr>
      </w:pPr>
      <w:r w:rsidRPr="002515E5">
        <w:rPr>
          <w:rFonts w:ascii="Arial" w:hAnsi="Arial" w:cs="Arial"/>
          <w:sz w:val="25"/>
          <w:szCs w:val="25"/>
          <w:lang w:val="en"/>
        </w:rPr>
        <w:t>The great recession had its biggest impact on working age regional center clients, not in how many had jobs, but in how much they made. While many kept jobs, on average they either worked fewer hours or were paid less.</w:t>
      </w:r>
    </w:p>
    <w:p w:rsidR="002515E5" w:rsidRPr="002515E5" w:rsidRDefault="002515E5" w:rsidP="002515E5">
      <w:pPr>
        <w:rPr>
          <w:rFonts w:ascii="Arial" w:hAnsi="Arial" w:cs="Arial"/>
          <w:sz w:val="25"/>
          <w:szCs w:val="25"/>
          <w:lang w:val="en"/>
        </w:rPr>
      </w:pPr>
    </w:p>
    <w:p w:rsidR="002515E5" w:rsidRPr="00560948" w:rsidRDefault="002515E5" w:rsidP="002515E5">
      <w:pPr>
        <w:rPr>
          <w:rFonts w:ascii="Arial" w:hAnsi="Arial" w:cs="Arial"/>
          <w:sz w:val="25"/>
          <w:szCs w:val="25"/>
          <w:lang w:val="en"/>
        </w:rPr>
      </w:pPr>
      <w:r w:rsidRPr="002515E5">
        <w:rPr>
          <w:rFonts w:ascii="Arial" w:hAnsi="Arial" w:cs="Arial"/>
          <w:sz w:val="25"/>
          <w:szCs w:val="25"/>
          <w:lang w:val="en"/>
        </w:rPr>
        <w:t>The bar chart shows that wages went up at first, and then went back down during the great recession. Wages have increased again in the last year. Since these figures are NOT adjusted for inflation, on average their earning power has decreased over time.</w:t>
      </w:r>
    </w:p>
    <w:p w:rsidR="00560948" w:rsidRPr="00216BF6" w:rsidRDefault="00C7097E" w:rsidP="004F3264">
      <w:pPr>
        <w:pStyle w:val="Heading2"/>
        <w:rPr>
          <w:rFonts w:ascii="Arial" w:hAnsi="Arial" w:cs="Arial"/>
          <w:b w:val="0"/>
          <w:bCs w:val="0"/>
          <w:sz w:val="25"/>
          <w:szCs w:val="25"/>
        </w:rPr>
      </w:pPr>
      <w:r>
        <w:rPr>
          <w:lang w:val="en"/>
        </w:rPr>
        <w:t xml:space="preserve">Table </w:t>
      </w:r>
      <w:r w:rsidR="004F3264">
        <w:rPr>
          <w:lang w:val="en"/>
        </w:rPr>
        <w:t xml:space="preserve">1. </w:t>
      </w:r>
      <w:r>
        <w:rPr>
          <w:lang w:val="en"/>
        </w:rPr>
        <w:t xml:space="preserve"> </w:t>
      </w:r>
      <w:r w:rsidR="004F3264">
        <w:rPr>
          <w:lang w:val="en"/>
        </w:rPr>
        <w:t>Average Monthly Consumer Wages</w:t>
      </w:r>
    </w:p>
    <w:p w:rsidR="00560948" w:rsidRPr="00560948" w:rsidRDefault="00560948" w:rsidP="00560948">
      <w:pPr>
        <w:rPr>
          <w:rFonts w:ascii="Arial" w:hAnsi="Arial" w:cs="Arial"/>
          <w:sz w:val="25"/>
          <w:szCs w:val="25"/>
          <w:lang w:val="en"/>
        </w:rPr>
      </w:pPr>
    </w:p>
    <w:tbl>
      <w:tblPr>
        <w:tblW w:w="3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714"/>
        <w:gridCol w:w="2286"/>
      </w:tblGrid>
      <w:tr w:rsidR="00560948" w:rsidRPr="00560948" w:rsidTr="00560948">
        <w:trPr>
          <w:trHeight w:val="600"/>
          <w:tblHeader/>
          <w:jc w:val="center"/>
        </w:trPr>
        <w:tc>
          <w:tcPr>
            <w:tcW w:w="0" w:type="auto"/>
            <w:shd w:val="clear" w:color="auto" w:fill="437C17"/>
            <w:vAlign w:val="center"/>
            <w:hideMark/>
          </w:tcPr>
          <w:p w:rsidR="00560948" w:rsidRPr="00560948" w:rsidRDefault="00560948" w:rsidP="00560948">
            <w:pPr>
              <w:rPr>
                <w:rFonts w:ascii="Arial" w:hAnsi="Arial" w:cs="Arial"/>
                <w:b/>
                <w:bCs/>
                <w:color w:val="FFFFFF" w:themeColor="background1"/>
                <w:sz w:val="25"/>
                <w:szCs w:val="25"/>
              </w:rPr>
            </w:pPr>
            <w:r w:rsidRPr="00560948">
              <w:rPr>
                <w:rFonts w:ascii="Arial" w:hAnsi="Arial" w:cs="Arial"/>
                <w:b/>
                <w:bCs/>
                <w:color w:val="FFFFFF" w:themeColor="background1"/>
                <w:sz w:val="25"/>
                <w:szCs w:val="25"/>
              </w:rPr>
              <w:t>Year</w:t>
            </w:r>
          </w:p>
        </w:tc>
        <w:tc>
          <w:tcPr>
            <w:tcW w:w="0" w:type="auto"/>
            <w:shd w:val="clear" w:color="auto" w:fill="437C17"/>
            <w:vAlign w:val="center"/>
            <w:hideMark/>
          </w:tcPr>
          <w:p w:rsidR="00560948" w:rsidRPr="00560948" w:rsidRDefault="00560948" w:rsidP="00560948">
            <w:pPr>
              <w:rPr>
                <w:rFonts w:ascii="Arial" w:hAnsi="Arial" w:cs="Arial"/>
                <w:b/>
                <w:bCs/>
                <w:color w:val="FFFFFF" w:themeColor="background1"/>
                <w:sz w:val="25"/>
                <w:szCs w:val="25"/>
              </w:rPr>
            </w:pPr>
            <w:r w:rsidRPr="00560948">
              <w:rPr>
                <w:rFonts w:ascii="Arial" w:hAnsi="Arial" w:cs="Arial"/>
                <w:b/>
                <w:bCs/>
                <w:color w:val="FFFFFF" w:themeColor="background1"/>
                <w:sz w:val="25"/>
                <w:szCs w:val="25"/>
              </w:rPr>
              <w:t xml:space="preserve">Average Monthly </w:t>
            </w:r>
            <w:r w:rsidRPr="00560948">
              <w:rPr>
                <w:rFonts w:ascii="Arial" w:hAnsi="Arial" w:cs="Arial"/>
                <w:b/>
                <w:bCs/>
                <w:color w:val="FFFFFF" w:themeColor="background1"/>
                <w:sz w:val="25"/>
                <w:szCs w:val="25"/>
              </w:rPr>
              <w:br/>
              <w:t xml:space="preserve">Consumer Wages </w:t>
            </w:r>
          </w:p>
        </w:tc>
      </w:tr>
      <w:tr w:rsidR="00560948" w:rsidRPr="00560948" w:rsidTr="00560948">
        <w:trPr>
          <w:jc w:val="center"/>
        </w:trPr>
        <w:tc>
          <w:tcPr>
            <w:tcW w:w="0" w:type="auto"/>
            <w:tcMar>
              <w:top w:w="45" w:type="dxa"/>
              <w:left w:w="75" w:type="dxa"/>
              <w:bottom w:w="45" w:type="dxa"/>
              <w:right w:w="75" w:type="dxa"/>
            </w:tcMar>
            <w:hideMark/>
          </w:tcPr>
          <w:p w:rsidR="00560948" w:rsidRPr="00560948" w:rsidRDefault="00560948" w:rsidP="00560948">
            <w:pPr>
              <w:rPr>
                <w:rFonts w:ascii="Arial" w:hAnsi="Arial" w:cs="Arial"/>
                <w:sz w:val="25"/>
                <w:szCs w:val="25"/>
              </w:rPr>
            </w:pPr>
            <w:r w:rsidRPr="00560948">
              <w:rPr>
                <w:rFonts w:ascii="Arial" w:hAnsi="Arial" w:cs="Arial"/>
                <w:b/>
                <w:bCs/>
                <w:sz w:val="25"/>
                <w:szCs w:val="25"/>
              </w:rPr>
              <w:t>2005</w:t>
            </w:r>
          </w:p>
        </w:tc>
        <w:tc>
          <w:tcPr>
            <w:tcW w:w="0" w:type="auto"/>
            <w:vAlign w:val="center"/>
            <w:hideMark/>
          </w:tcPr>
          <w:p w:rsidR="00560948" w:rsidRPr="00560948" w:rsidRDefault="00560948" w:rsidP="00560948">
            <w:pPr>
              <w:rPr>
                <w:rFonts w:ascii="Arial" w:hAnsi="Arial" w:cs="Arial"/>
                <w:sz w:val="25"/>
                <w:szCs w:val="25"/>
              </w:rPr>
            </w:pPr>
            <w:r w:rsidRPr="00560948">
              <w:rPr>
                <w:rFonts w:ascii="Arial" w:hAnsi="Arial" w:cs="Arial"/>
                <w:b/>
                <w:bCs/>
                <w:sz w:val="25"/>
                <w:szCs w:val="25"/>
              </w:rPr>
              <w:t xml:space="preserve">$487 </w:t>
            </w:r>
          </w:p>
        </w:tc>
      </w:tr>
      <w:tr w:rsidR="00560948" w:rsidRPr="00560948" w:rsidTr="00560948">
        <w:trPr>
          <w:jc w:val="center"/>
        </w:trPr>
        <w:tc>
          <w:tcPr>
            <w:tcW w:w="0" w:type="auto"/>
            <w:tcMar>
              <w:top w:w="45" w:type="dxa"/>
              <w:left w:w="75" w:type="dxa"/>
              <w:bottom w:w="45" w:type="dxa"/>
              <w:right w:w="75" w:type="dxa"/>
            </w:tcMar>
            <w:vAlign w:val="center"/>
            <w:hideMark/>
          </w:tcPr>
          <w:p w:rsidR="00560948" w:rsidRPr="00560948" w:rsidRDefault="00560948" w:rsidP="00560948">
            <w:pPr>
              <w:rPr>
                <w:rFonts w:ascii="Arial" w:hAnsi="Arial" w:cs="Arial"/>
                <w:sz w:val="25"/>
                <w:szCs w:val="25"/>
              </w:rPr>
            </w:pPr>
            <w:r w:rsidRPr="00560948">
              <w:rPr>
                <w:rFonts w:ascii="Arial" w:hAnsi="Arial" w:cs="Arial"/>
                <w:b/>
                <w:bCs/>
                <w:sz w:val="25"/>
                <w:szCs w:val="25"/>
              </w:rPr>
              <w:t>2006</w:t>
            </w:r>
          </w:p>
        </w:tc>
        <w:tc>
          <w:tcPr>
            <w:tcW w:w="0" w:type="auto"/>
            <w:vAlign w:val="center"/>
            <w:hideMark/>
          </w:tcPr>
          <w:p w:rsidR="00560948" w:rsidRPr="00560948" w:rsidRDefault="00560948" w:rsidP="00560948">
            <w:pPr>
              <w:rPr>
                <w:rFonts w:ascii="Arial" w:hAnsi="Arial" w:cs="Arial"/>
                <w:sz w:val="25"/>
                <w:szCs w:val="25"/>
              </w:rPr>
            </w:pPr>
            <w:r w:rsidRPr="00560948">
              <w:rPr>
                <w:rFonts w:ascii="Arial" w:hAnsi="Arial" w:cs="Arial"/>
                <w:b/>
                <w:bCs/>
                <w:sz w:val="25"/>
                <w:szCs w:val="25"/>
              </w:rPr>
              <w:t xml:space="preserve">$492 </w:t>
            </w:r>
          </w:p>
        </w:tc>
      </w:tr>
      <w:tr w:rsidR="00560948" w:rsidRPr="00560948" w:rsidTr="00560948">
        <w:trPr>
          <w:jc w:val="center"/>
        </w:trPr>
        <w:tc>
          <w:tcPr>
            <w:tcW w:w="0" w:type="auto"/>
            <w:tcMar>
              <w:top w:w="45" w:type="dxa"/>
              <w:left w:w="75" w:type="dxa"/>
              <w:bottom w:w="45" w:type="dxa"/>
              <w:right w:w="75" w:type="dxa"/>
            </w:tcMar>
            <w:vAlign w:val="center"/>
            <w:hideMark/>
          </w:tcPr>
          <w:p w:rsidR="00560948" w:rsidRPr="00560948" w:rsidRDefault="00560948" w:rsidP="00560948">
            <w:pPr>
              <w:rPr>
                <w:rFonts w:ascii="Arial" w:hAnsi="Arial" w:cs="Arial"/>
                <w:sz w:val="25"/>
                <w:szCs w:val="25"/>
              </w:rPr>
            </w:pPr>
            <w:r w:rsidRPr="00560948">
              <w:rPr>
                <w:rFonts w:ascii="Arial" w:hAnsi="Arial" w:cs="Arial"/>
                <w:b/>
                <w:bCs/>
                <w:sz w:val="25"/>
                <w:szCs w:val="25"/>
              </w:rPr>
              <w:t>2007</w:t>
            </w:r>
          </w:p>
        </w:tc>
        <w:tc>
          <w:tcPr>
            <w:tcW w:w="0" w:type="auto"/>
            <w:vAlign w:val="center"/>
            <w:hideMark/>
          </w:tcPr>
          <w:p w:rsidR="00560948" w:rsidRPr="00560948" w:rsidRDefault="00560948" w:rsidP="00560948">
            <w:pPr>
              <w:rPr>
                <w:rFonts w:ascii="Arial" w:hAnsi="Arial" w:cs="Arial"/>
                <w:sz w:val="25"/>
                <w:szCs w:val="25"/>
              </w:rPr>
            </w:pPr>
            <w:r w:rsidRPr="00560948">
              <w:rPr>
                <w:rFonts w:ascii="Arial" w:hAnsi="Arial" w:cs="Arial"/>
                <w:b/>
                <w:bCs/>
                <w:sz w:val="25"/>
                <w:szCs w:val="25"/>
              </w:rPr>
              <w:t xml:space="preserve">$527 </w:t>
            </w:r>
          </w:p>
        </w:tc>
      </w:tr>
      <w:tr w:rsidR="00560948" w:rsidRPr="00560948" w:rsidTr="00560948">
        <w:trPr>
          <w:jc w:val="center"/>
        </w:trPr>
        <w:tc>
          <w:tcPr>
            <w:tcW w:w="0" w:type="auto"/>
            <w:tcMar>
              <w:top w:w="45" w:type="dxa"/>
              <w:left w:w="75" w:type="dxa"/>
              <w:bottom w:w="45" w:type="dxa"/>
              <w:right w:w="75" w:type="dxa"/>
            </w:tcMar>
            <w:vAlign w:val="center"/>
            <w:hideMark/>
          </w:tcPr>
          <w:p w:rsidR="00560948" w:rsidRPr="00560948" w:rsidRDefault="00560948" w:rsidP="00560948">
            <w:pPr>
              <w:rPr>
                <w:rFonts w:ascii="Arial" w:hAnsi="Arial" w:cs="Arial"/>
                <w:sz w:val="25"/>
                <w:szCs w:val="25"/>
              </w:rPr>
            </w:pPr>
            <w:r w:rsidRPr="00560948">
              <w:rPr>
                <w:rFonts w:ascii="Arial" w:hAnsi="Arial" w:cs="Arial"/>
                <w:b/>
                <w:bCs/>
                <w:sz w:val="25"/>
                <w:szCs w:val="25"/>
              </w:rPr>
              <w:t>2008</w:t>
            </w:r>
          </w:p>
        </w:tc>
        <w:tc>
          <w:tcPr>
            <w:tcW w:w="0" w:type="auto"/>
            <w:vAlign w:val="center"/>
            <w:hideMark/>
          </w:tcPr>
          <w:p w:rsidR="00560948" w:rsidRPr="00560948" w:rsidRDefault="00560948" w:rsidP="00560948">
            <w:pPr>
              <w:rPr>
                <w:rFonts w:ascii="Arial" w:hAnsi="Arial" w:cs="Arial"/>
                <w:sz w:val="25"/>
                <w:szCs w:val="25"/>
              </w:rPr>
            </w:pPr>
            <w:r w:rsidRPr="00560948">
              <w:rPr>
                <w:rFonts w:ascii="Arial" w:hAnsi="Arial" w:cs="Arial"/>
                <w:b/>
                <w:bCs/>
                <w:sz w:val="25"/>
                <w:szCs w:val="25"/>
              </w:rPr>
              <w:t xml:space="preserve">$508 </w:t>
            </w:r>
          </w:p>
        </w:tc>
      </w:tr>
      <w:tr w:rsidR="00560948" w:rsidRPr="00560948" w:rsidTr="00560948">
        <w:trPr>
          <w:jc w:val="center"/>
        </w:trPr>
        <w:tc>
          <w:tcPr>
            <w:tcW w:w="0" w:type="auto"/>
            <w:tcMar>
              <w:top w:w="45" w:type="dxa"/>
              <w:left w:w="75" w:type="dxa"/>
              <w:bottom w:w="45" w:type="dxa"/>
              <w:right w:w="75" w:type="dxa"/>
            </w:tcMar>
            <w:vAlign w:val="center"/>
            <w:hideMark/>
          </w:tcPr>
          <w:p w:rsidR="00560948" w:rsidRPr="00560948" w:rsidRDefault="00560948" w:rsidP="00560948">
            <w:pPr>
              <w:rPr>
                <w:rFonts w:ascii="Arial" w:hAnsi="Arial" w:cs="Arial"/>
                <w:sz w:val="25"/>
                <w:szCs w:val="25"/>
              </w:rPr>
            </w:pPr>
            <w:r w:rsidRPr="00560948">
              <w:rPr>
                <w:rFonts w:ascii="Arial" w:hAnsi="Arial" w:cs="Arial"/>
                <w:b/>
                <w:bCs/>
                <w:sz w:val="25"/>
                <w:szCs w:val="25"/>
              </w:rPr>
              <w:t>2009</w:t>
            </w:r>
          </w:p>
        </w:tc>
        <w:tc>
          <w:tcPr>
            <w:tcW w:w="0" w:type="auto"/>
            <w:vAlign w:val="center"/>
            <w:hideMark/>
          </w:tcPr>
          <w:p w:rsidR="00560948" w:rsidRPr="00560948" w:rsidRDefault="00560948" w:rsidP="00560948">
            <w:pPr>
              <w:rPr>
                <w:rFonts w:ascii="Arial" w:hAnsi="Arial" w:cs="Arial"/>
                <w:sz w:val="25"/>
                <w:szCs w:val="25"/>
              </w:rPr>
            </w:pPr>
            <w:r w:rsidRPr="00560948">
              <w:rPr>
                <w:rFonts w:ascii="Arial" w:hAnsi="Arial" w:cs="Arial"/>
                <w:b/>
                <w:bCs/>
                <w:sz w:val="25"/>
                <w:szCs w:val="25"/>
              </w:rPr>
              <w:t xml:space="preserve">$499 </w:t>
            </w:r>
          </w:p>
        </w:tc>
      </w:tr>
      <w:tr w:rsidR="00560948" w:rsidRPr="00560948" w:rsidTr="00560948">
        <w:trPr>
          <w:jc w:val="center"/>
        </w:trPr>
        <w:tc>
          <w:tcPr>
            <w:tcW w:w="0" w:type="auto"/>
            <w:tcMar>
              <w:top w:w="45" w:type="dxa"/>
              <w:left w:w="75" w:type="dxa"/>
              <w:bottom w:w="45" w:type="dxa"/>
              <w:right w:w="75" w:type="dxa"/>
            </w:tcMar>
            <w:vAlign w:val="center"/>
            <w:hideMark/>
          </w:tcPr>
          <w:p w:rsidR="00560948" w:rsidRPr="00560948" w:rsidRDefault="00560948" w:rsidP="00560948">
            <w:pPr>
              <w:rPr>
                <w:rFonts w:ascii="Arial" w:hAnsi="Arial" w:cs="Arial"/>
                <w:sz w:val="25"/>
                <w:szCs w:val="25"/>
              </w:rPr>
            </w:pPr>
            <w:r w:rsidRPr="00560948">
              <w:rPr>
                <w:rFonts w:ascii="Arial" w:hAnsi="Arial" w:cs="Arial"/>
                <w:b/>
                <w:bCs/>
                <w:sz w:val="25"/>
                <w:szCs w:val="25"/>
              </w:rPr>
              <w:t>2010</w:t>
            </w:r>
          </w:p>
        </w:tc>
        <w:tc>
          <w:tcPr>
            <w:tcW w:w="0" w:type="auto"/>
            <w:vAlign w:val="center"/>
            <w:hideMark/>
          </w:tcPr>
          <w:p w:rsidR="00560948" w:rsidRPr="00560948" w:rsidRDefault="00560948" w:rsidP="00560948">
            <w:pPr>
              <w:rPr>
                <w:rFonts w:ascii="Arial" w:hAnsi="Arial" w:cs="Arial"/>
                <w:sz w:val="25"/>
                <w:szCs w:val="25"/>
              </w:rPr>
            </w:pPr>
            <w:r w:rsidRPr="00560948">
              <w:rPr>
                <w:rFonts w:ascii="Arial" w:hAnsi="Arial" w:cs="Arial"/>
                <w:b/>
                <w:bCs/>
                <w:sz w:val="25"/>
                <w:szCs w:val="25"/>
              </w:rPr>
              <w:t>$502</w:t>
            </w:r>
          </w:p>
        </w:tc>
      </w:tr>
      <w:tr w:rsidR="00560948" w:rsidRPr="00560948" w:rsidTr="00560948">
        <w:trPr>
          <w:jc w:val="center"/>
        </w:trPr>
        <w:tc>
          <w:tcPr>
            <w:tcW w:w="0" w:type="auto"/>
            <w:tcMar>
              <w:top w:w="45" w:type="dxa"/>
              <w:left w:w="75" w:type="dxa"/>
              <w:bottom w:w="45" w:type="dxa"/>
              <w:right w:w="75" w:type="dxa"/>
            </w:tcMar>
            <w:vAlign w:val="center"/>
            <w:hideMark/>
          </w:tcPr>
          <w:p w:rsidR="00560948" w:rsidRPr="00560948" w:rsidRDefault="00560948" w:rsidP="00560948">
            <w:pPr>
              <w:rPr>
                <w:rFonts w:ascii="Arial" w:hAnsi="Arial" w:cs="Arial"/>
                <w:sz w:val="25"/>
                <w:szCs w:val="25"/>
              </w:rPr>
            </w:pPr>
            <w:r w:rsidRPr="00560948">
              <w:rPr>
                <w:rFonts w:ascii="Arial" w:hAnsi="Arial" w:cs="Arial"/>
                <w:b/>
                <w:bCs/>
                <w:sz w:val="25"/>
                <w:szCs w:val="25"/>
              </w:rPr>
              <w:t>2011</w:t>
            </w:r>
          </w:p>
        </w:tc>
        <w:tc>
          <w:tcPr>
            <w:tcW w:w="0" w:type="auto"/>
            <w:vAlign w:val="center"/>
            <w:hideMark/>
          </w:tcPr>
          <w:p w:rsidR="00560948" w:rsidRPr="00560948" w:rsidRDefault="00560948" w:rsidP="00560948">
            <w:pPr>
              <w:rPr>
                <w:rFonts w:ascii="Arial" w:hAnsi="Arial" w:cs="Arial"/>
                <w:sz w:val="25"/>
                <w:szCs w:val="25"/>
              </w:rPr>
            </w:pPr>
            <w:r w:rsidRPr="00560948">
              <w:rPr>
                <w:rFonts w:ascii="Arial" w:hAnsi="Arial" w:cs="Arial"/>
                <w:b/>
                <w:bCs/>
                <w:sz w:val="25"/>
                <w:szCs w:val="25"/>
              </w:rPr>
              <w:t>$485</w:t>
            </w:r>
          </w:p>
        </w:tc>
      </w:tr>
      <w:tr w:rsidR="002515E5" w:rsidRPr="00560948" w:rsidTr="00560948">
        <w:trPr>
          <w:jc w:val="center"/>
        </w:trPr>
        <w:tc>
          <w:tcPr>
            <w:tcW w:w="0" w:type="auto"/>
            <w:tcMar>
              <w:top w:w="45" w:type="dxa"/>
              <w:left w:w="75" w:type="dxa"/>
              <w:bottom w:w="45" w:type="dxa"/>
              <w:right w:w="75" w:type="dxa"/>
            </w:tcMar>
            <w:vAlign w:val="center"/>
          </w:tcPr>
          <w:p w:rsidR="002515E5" w:rsidRPr="00560948" w:rsidRDefault="002515E5" w:rsidP="00560948">
            <w:pPr>
              <w:rPr>
                <w:rFonts w:ascii="Arial" w:hAnsi="Arial" w:cs="Arial"/>
                <w:b/>
                <w:bCs/>
                <w:sz w:val="25"/>
                <w:szCs w:val="25"/>
              </w:rPr>
            </w:pPr>
            <w:r>
              <w:rPr>
                <w:rFonts w:ascii="Arial" w:hAnsi="Arial" w:cs="Arial"/>
                <w:b/>
                <w:bCs/>
                <w:sz w:val="25"/>
                <w:szCs w:val="25"/>
              </w:rPr>
              <w:t>2012</w:t>
            </w:r>
          </w:p>
        </w:tc>
        <w:tc>
          <w:tcPr>
            <w:tcW w:w="0" w:type="auto"/>
            <w:vAlign w:val="center"/>
          </w:tcPr>
          <w:p w:rsidR="002515E5" w:rsidRPr="00560948" w:rsidRDefault="002515E5" w:rsidP="00560948">
            <w:pPr>
              <w:rPr>
                <w:rFonts w:ascii="Arial" w:hAnsi="Arial" w:cs="Arial"/>
                <w:b/>
                <w:bCs/>
                <w:sz w:val="25"/>
                <w:szCs w:val="25"/>
              </w:rPr>
            </w:pPr>
            <w:r>
              <w:rPr>
                <w:rFonts w:ascii="Arial" w:hAnsi="Arial" w:cs="Arial"/>
                <w:b/>
                <w:bCs/>
                <w:sz w:val="25"/>
                <w:szCs w:val="25"/>
              </w:rPr>
              <w:t>$523</w:t>
            </w:r>
          </w:p>
        </w:tc>
      </w:tr>
    </w:tbl>
    <w:p w:rsidR="00560948" w:rsidRPr="00560948" w:rsidRDefault="00560948" w:rsidP="00560948">
      <w:pPr>
        <w:rPr>
          <w:rStyle w:val="Hyperlink"/>
          <w:rFonts w:ascii="Arial" w:hAnsi="Arial" w:cs="Arial"/>
          <w:b/>
          <w:bCs/>
          <w:sz w:val="25"/>
          <w:szCs w:val="25"/>
        </w:rPr>
      </w:pPr>
      <w:r w:rsidRPr="00560948">
        <w:rPr>
          <w:rFonts w:ascii="Arial" w:hAnsi="Arial" w:cs="Arial"/>
          <w:noProof/>
          <w:sz w:val="25"/>
          <w:szCs w:val="25"/>
        </w:rPr>
        <w:lastRenderedPageBreak/>
        <w:drawing>
          <wp:inline distT="0" distB="0" distL="0" distR="0" wp14:anchorId="749CFC93" wp14:editId="45927C3A">
            <wp:extent cx="6381750" cy="4832224"/>
            <wp:effectExtent l="0" t="0" r="0" b="6985"/>
            <wp:docPr id="5" name="Picture 5" descr="Bar chart of average monthly earnings for working age adults.  2005 was $487, 2006 was $492 2007 was $527, 2008 was $508, 2009 was $499. 2010 was $502, 2011 was $485, and 2012 was $523." title="Average Monthly Earnings Bar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ms.portal.ca.gov/scdd/res/images/Dashboard/image038_2014_Feb_24.png"/>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6381750" cy="4832224"/>
                    </a:xfrm>
                    <a:prstGeom prst="rect">
                      <a:avLst/>
                    </a:prstGeom>
                    <a:noFill/>
                    <a:ln>
                      <a:noFill/>
                    </a:ln>
                  </pic:spPr>
                </pic:pic>
              </a:graphicData>
            </a:graphic>
          </wp:inline>
        </w:drawing>
      </w:r>
      <w:r w:rsidRPr="00560948">
        <w:rPr>
          <w:rFonts w:ascii="Arial" w:hAnsi="Arial" w:cs="Arial"/>
          <w:sz w:val="25"/>
          <w:szCs w:val="25"/>
          <w:lang w:val="en"/>
        </w:rPr>
        <w:br/>
      </w:r>
      <w:r w:rsidRPr="00560948">
        <w:rPr>
          <w:rFonts w:ascii="Arial" w:hAnsi="Arial" w:cs="Arial"/>
          <w:b/>
          <w:bCs/>
          <w:sz w:val="25"/>
          <w:szCs w:val="25"/>
          <w:lang w:val="en"/>
        </w:rPr>
        <w:fldChar w:fldCharType="begin"/>
      </w:r>
      <w:r w:rsidRPr="00560948">
        <w:rPr>
          <w:rFonts w:ascii="Arial" w:hAnsi="Arial" w:cs="Arial"/>
          <w:b/>
          <w:bCs/>
          <w:sz w:val="25"/>
          <w:szCs w:val="25"/>
          <w:lang w:val="en"/>
        </w:rPr>
        <w:instrText xml:space="preserve"> HYPERLINK "https://cms.portal.ca.gov/scdd/SiteEdit.aspx?p=5100" </w:instrText>
      </w:r>
      <w:r w:rsidRPr="00560948">
        <w:rPr>
          <w:rFonts w:ascii="Arial" w:hAnsi="Arial" w:cs="Arial"/>
          <w:b/>
          <w:bCs/>
          <w:sz w:val="25"/>
          <w:szCs w:val="25"/>
          <w:lang w:val="en"/>
        </w:rPr>
        <w:fldChar w:fldCharType="separate"/>
      </w:r>
    </w:p>
    <w:p w:rsidR="00560948" w:rsidRPr="00560948" w:rsidRDefault="00560948" w:rsidP="00560948">
      <w:pPr>
        <w:rPr>
          <w:rFonts w:ascii="Arial" w:hAnsi="Arial" w:cs="Arial"/>
          <w:sz w:val="25"/>
          <w:szCs w:val="25"/>
          <w:lang w:val="en"/>
        </w:rPr>
      </w:pPr>
      <w:r w:rsidRPr="00560948">
        <w:rPr>
          <w:rFonts w:ascii="Arial" w:hAnsi="Arial" w:cs="Arial"/>
          <w:sz w:val="25"/>
          <w:szCs w:val="25"/>
        </w:rPr>
        <w:fldChar w:fldCharType="end"/>
      </w:r>
      <w:r w:rsidR="002622CC">
        <w:rPr>
          <w:rFonts w:ascii="Arial" w:hAnsi="Arial" w:cs="Arial"/>
          <w:sz w:val="25"/>
          <w:szCs w:val="25"/>
          <w:lang w:val="en"/>
        </w:rPr>
        <w:pict>
          <v:rect id="_x0000_i1025" style="width:0;height:1.5pt" o:hralign="center" o:hrstd="t" o:hr="t" fillcolor="gray" stroked="f"/>
        </w:pict>
      </w:r>
    </w:p>
    <w:p w:rsidR="003D2FBB" w:rsidRPr="00560948" w:rsidRDefault="00560948" w:rsidP="00560948">
      <w:pPr>
        <w:pBdr>
          <w:bottom w:val="single" w:sz="4" w:space="1" w:color="auto"/>
        </w:pBdr>
        <w:rPr>
          <w:rFonts w:ascii="Arial" w:hAnsi="Arial" w:cs="Arial"/>
          <w:sz w:val="25"/>
          <w:szCs w:val="25"/>
        </w:rPr>
      </w:pPr>
      <w:r w:rsidRPr="00560948">
        <w:rPr>
          <w:rStyle w:val="Heading2Char"/>
          <w:lang w:val="en"/>
        </w:rPr>
        <w:t>DATA SOURCE:</w:t>
      </w:r>
      <w:r w:rsidRPr="00560948">
        <w:rPr>
          <w:rFonts w:ascii="Arial" w:hAnsi="Arial" w:cs="Arial"/>
          <w:sz w:val="25"/>
          <w:szCs w:val="25"/>
          <w:lang w:val="en"/>
        </w:rPr>
        <w:t xml:space="preserve"> Employment Development Department (EDD) in conjunction with California Department of Developmental Services (DDS) identify consumers who have had employer reported earnings. The EDD data helps DDS measure the number consumers utilizing services each year to begin or maintain employment, plus their earnings. Consumers with contract agreement are not covered by unemployment insurance. Therefore their earnings are not included in the EDD data, due to employers not being required to report contract earnings to EDD.</w:t>
      </w:r>
    </w:p>
    <w:sectPr w:rsidR="003D2FBB" w:rsidRPr="00560948" w:rsidSect="00560948">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cumentProtection w:edit="readOnly" w:enforcement="1" w:cryptProviderType="rsaFull" w:cryptAlgorithmClass="hash" w:cryptAlgorithmType="typeAny" w:cryptAlgorithmSid="4" w:cryptSpinCount="100000" w:hash="nX1G13H5YqfKzW3vtAMNzVOnLms=" w:salt="k+oA2jffGgDUWAhnieZe9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948"/>
    <w:rsid w:val="0011149C"/>
    <w:rsid w:val="00147C15"/>
    <w:rsid w:val="00216BF6"/>
    <w:rsid w:val="002515E5"/>
    <w:rsid w:val="002622CC"/>
    <w:rsid w:val="003D2FBB"/>
    <w:rsid w:val="004C6B3F"/>
    <w:rsid w:val="004F3264"/>
    <w:rsid w:val="00560948"/>
    <w:rsid w:val="0084687F"/>
    <w:rsid w:val="00875FD4"/>
    <w:rsid w:val="008D11D8"/>
    <w:rsid w:val="00957570"/>
    <w:rsid w:val="00AE51FB"/>
    <w:rsid w:val="00C7097E"/>
    <w:rsid w:val="00D2747A"/>
    <w:rsid w:val="00D51997"/>
    <w:rsid w:val="00DB0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E1F20F-A653-4D67-9E28-9E15EA567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51FB"/>
    <w:pPr>
      <w:keepNext/>
      <w:keepLines/>
      <w:spacing w:before="480"/>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AE51FB"/>
    <w:pPr>
      <w:keepNext/>
      <w:keepLines/>
      <w:spacing w:before="2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51FB"/>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AE51FB"/>
    <w:rPr>
      <w:rFonts w:asciiTheme="majorHAnsi" w:eastAsiaTheme="majorEastAsia" w:hAnsiTheme="majorHAnsi" w:cstheme="majorBidi"/>
      <w:b/>
      <w:bCs/>
      <w:sz w:val="26"/>
      <w:szCs w:val="26"/>
    </w:rPr>
  </w:style>
  <w:style w:type="character" w:styleId="Hyperlink">
    <w:name w:val="Hyperlink"/>
    <w:basedOn w:val="DefaultParagraphFont"/>
    <w:uiPriority w:val="99"/>
    <w:unhideWhenUsed/>
    <w:rsid w:val="00560948"/>
    <w:rPr>
      <w:color w:val="0000FF" w:themeColor="hyperlink"/>
      <w:u w:val="single"/>
    </w:rPr>
  </w:style>
  <w:style w:type="paragraph" w:styleId="BalloonText">
    <w:name w:val="Balloon Text"/>
    <w:basedOn w:val="Normal"/>
    <w:link w:val="BalloonTextChar"/>
    <w:uiPriority w:val="99"/>
    <w:semiHidden/>
    <w:unhideWhenUsed/>
    <w:rsid w:val="00560948"/>
    <w:rPr>
      <w:rFonts w:ascii="Tahoma" w:hAnsi="Tahoma" w:cs="Tahoma"/>
      <w:sz w:val="16"/>
      <w:szCs w:val="16"/>
    </w:rPr>
  </w:style>
  <w:style w:type="character" w:customStyle="1" w:styleId="BalloonTextChar">
    <w:name w:val="Balloon Text Char"/>
    <w:basedOn w:val="DefaultParagraphFont"/>
    <w:link w:val="BalloonText"/>
    <w:uiPriority w:val="99"/>
    <w:semiHidden/>
    <w:rsid w:val="005609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5375175">
      <w:bodyDiv w:val="1"/>
      <w:marLeft w:val="0"/>
      <w:marRight w:val="0"/>
      <w:marTop w:val="0"/>
      <w:marBottom w:val="0"/>
      <w:divBdr>
        <w:top w:val="none" w:sz="0" w:space="0" w:color="auto"/>
        <w:left w:val="none" w:sz="0" w:space="0" w:color="auto"/>
        <w:bottom w:val="none" w:sz="0" w:space="0" w:color="auto"/>
        <w:right w:val="none" w:sz="0" w:space="0" w:color="auto"/>
      </w:divBdr>
      <w:divsChild>
        <w:div w:id="1000809861">
          <w:marLeft w:val="0"/>
          <w:marRight w:val="0"/>
          <w:marTop w:val="0"/>
          <w:marBottom w:val="0"/>
          <w:divBdr>
            <w:top w:val="none" w:sz="0" w:space="0" w:color="auto"/>
            <w:left w:val="none" w:sz="0" w:space="0" w:color="auto"/>
            <w:bottom w:val="none" w:sz="0" w:space="0" w:color="auto"/>
            <w:right w:val="none" w:sz="0" w:space="0" w:color="auto"/>
          </w:divBdr>
          <w:divsChild>
            <w:div w:id="543517098">
              <w:marLeft w:val="0"/>
              <w:marRight w:val="0"/>
              <w:marTop w:val="0"/>
              <w:marBottom w:val="0"/>
              <w:divBdr>
                <w:top w:val="none" w:sz="0" w:space="0" w:color="auto"/>
                <w:left w:val="none" w:sz="0" w:space="0" w:color="auto"/>
                <w:bottom w:val="none" w:sz="0" w:space="0" w:color="auto"/>
                <w:right w:val="none" w:sz="0" w:space="0" w:color="auto"/>
              </w:divBdr>
              <w:divsChild>
                <w:div w:id="26746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04049">
      <w:bodyDiv w:val="1"/>
      <w:marLeft w:val="0"/>
      <w:marRight w:val="0"/>
      <w:marTop w:val="0"/>
      <w:marBottom w:val="0"/>
      <w:divBdr>
        <w:top w:val="none" w:sz="0" w:space="0" w:color="auto"/>
        <w:left w:val="none" w:sz="0" w:space="0" w:color="auto"/>
        <w:bottom w:val="none" w:sz="0" w:space="0" w:color="auto"/>
        <w:right w:val="none" w:sz="0" w:space="0" w:color="auto"/>
      </w:divBdr>
      <w:divsChild>
        <w:div w:id="330105592">
          <w:marLeft w:val="0"/>
          <w:marRight w:val="0"/>
          <w:marTop w:val="0"/>
          <w:marBottom w:val="0"/>
          <w:divBdr>
            <w:top w:val="none" w:sz="0" w:space="0" w:color="auto"/>
            <w:left w:val="none" w:sz="0" w:space="0" w:color="auto"/>
            <w:bottom w:val="none" w:sz="0" w:space="0" w:color="auto"/>
            <w:right w:val="none" w:sz="0" w:space="0" w:color="auto"/>
          </w:divBdr>
          <w:divsChild>
            <w:div w:id="917253257">
              <w:marLeft w:val="0"/>
              <w:marRight w:val="0"/>
              <w:marTop w:val="0"/>
              <w:marBottom w:val="0"/>
              <w:divBdr>
                <w:top w:val="none" w:sz="0" w:space="0" w:color="auto"/>
                <w:left w:val="none" w:sz="0" w:space="0" w:color="auto"/>
                <w:bottom w:val="none" w:sz="0" w:space="0" w:color="auto"/>
                <w:right w:val="none" w:sz="0" w:space="0" w:color="auto"/>
              </w:divBdr>
              <w:divsChild>
                <w:div w:id="131800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235</Words>
  <Characters>1346</Characters>
  <Application>Microsoft Office Word</Application>
  <DocSecurity>8</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CDSS</Company>
  <LinksUpToDate>false</LinksUpToDate>
  <CharactersWithSpaces>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ISDAdmin</dc:creator>
  <cp:lastModifiedBy>Pat Van</cp:lastModifiedBy>
  <cp:revision>2</cp:revision>
  <cp:lastPrinted>2015-06-10T17:02:00Z</cp:lastPrinted>
  <dcterms:created xsi:type="dcterms:W3CDTF">2016-10-20T21:32:00Z</dcterms:created>
  <dcterms:modified xsi:type="dcterms:W3CDTF">2016-10-20T21:32:00Z</dcterms:modified>
</cp:coreProperties>
</file>