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A8" w:rsidRPr="00396134" w:rsidRDefault="005702A8" w:rsidP="00396134">
      <w:pPr>
        <w:pStyle w:val="Heading1"/>
        <w:rPr>
          <w:rStyle w:val="Strong"/>
          <w:b/>
          <w:bCs/>
          <w:sz w:val="36"/>
        </w:rPr>
      </w:pPr>
      <w:bookmarkStart w:id="0" w:name="_GoBack"/>
      <w:bookmarkEnd w:id="0"/>
      <w:r w:rsidRPr="00396134">
        <w:rPr>
          <w:rStyle w:val="Strong"/>
          <w:b/>
          <w:bCs/>
          <w:sz w:val="36"/>
        </w:rPr>
        <w:t>Average Hourly Wage</w:t>
      </w:r>
    </w:p>
    <w:p w:rsidR="005702A8" w:rsidRDefault="007D6DB6" w:rsidP="005702A8">
      <w:r>
        <w:rPr>
          <w:rFonts w:ascii="Arial" w:hAnsi="Arial" w:cs="Arial"/>
          <w:sz w:val="25"/>
          <w:szCs w:val="25"/>
        </w:rPr>
        <w:br/>
      </w:r>
      <w:r w:rsidR="005702A8" w:rsidRPr="00F15003">
        <w:rPr>
          <w:rFonts w:ascii="Arial" w:hAnsi="Arial" w:cs="Arial"/>
          <w:sz w:val="25"/>
          <w:szCs w:val="25"/>
        </w:rPr>
        <w:t>In 2011, California asked about 8,400 regional center clients if they worked, and, if they did, how much they earned.  People working in regular jobs made on average $9.89/hour, while people working in small groups made about $6.24/hour.  This means that people in regular jobs made, on average, $3.65/hour more than people in groups.  This is 58% more per hour.</w:t>
      </w:r>
      <w:r w:rsidR="00C05348">
        <w:rPr>
          <w:rFonts w:ascii="Arial" w:hAnsi="Arial" w:cs="Arial"/>
          <w:sz w:val="25"/>
          <w:szCs w:val="25"/>
        </w:rPr>
        <w:br/>
      </w:r>
      <w:r w:rsidR="00D25B83">
        <w:br/>
      </w:r>
      <w:r w:rsidR="00AD1ABD" w:rsidRPr="00D25B83">
        <w:rPr>
          <w:rStyle w:val="Heading2Char"/>
        </w:rPr>
        <w:t xml:space="preserve">Table 1. </w:t>
      </w:r>
      <w:r w:rsidR="00D25B83">
        <w:rPr>
          <w:rStyle w:val="Heading2Char"/>
        </w:rPr>
        <w:t xml:space="preserve"> </w:t>
      </w:r>
      <w:r w:rsidR="00AD1ABD" w:rsidRPr="00D25B83">
        <w:rPr>
          <w:rStyle w:val="Heading2Char"/>
        </w:rPr>
        <w:t xml:space="preserve">Number of </w:t>
      </w:r>
      <w:r w:rsidR="00D25B83" w:rsidRPr="00D25B83">
        <w:rPr>
          <w:rStyle w:val="Heading2Char"/>
        </w:rPr>
        <w:t>regional center clients attending each program type</w:t>
      </w:r>
    </w:p>
    <w:tbl>
      <w:tblPr>
        <w:tblW w:w="7456" w:type="dxa"/>
        <w:jc w:val="center"/>
        <w:tblCellMar>
          <w:left w:w="0" w:type="dxa"/>
          <w:right w:w="0" w:type="dxa"/>
        </w:tblCellMar>
        <w:tblLook w:val="04A0" w:firstRow="1" w:lastRow="0" w:firstColumn="1" w:lastColumn="0" w:noHBand="0" w:noVBand="1"/>
        <w:tblCaption w:val="Table 1. Number of regional center cllients attending each program type"/>
        <w:tblDescription w:val="MS Word Table displaying number of regional center clients attending each program type:  Integrated Competitive Employment , Group Supported Employment Progrms, WAP, Day &amp; Look Alike, and Other Programs.  "/>
      </w:tblPr>
      <w:tblGrid>
        <w:gridCol w:w="1914"/>
        <w:gridCol w:w="2122"/>
        <w:gridCol w:w="1724"/>
        <w:gridCol w:w="1696"/>
      </w:tblGrid>
      <w:tr w:rsidR="005702A8" w:rsidRPr="00F15003" w:rsidTr="00BC305E">
        <w:trPr>
          <w:trHeight w:val="950"/>
          <w:tblHeader/>
          <w:jc w:val="center"/>
        </w:trPr>
        <w:tc>
          <w:tcPr>
            <w:tcW w:w="1914" w:type="dxa"/>
            <w:tcBorders>
              <w:top w:val="single" w:sz="8" w:space="0" w:color="auto"/>
              <w:left w:val="single" w:sz="8" w:space="0" w:color="auto"/>
              <w:bottom w:val="single" w:sz="8" w:space="0" w:color="auto"/>
              <w:right w:val="single" w:sz="8" w:space="0" w:color="auto"/>
            </w:tcBorders>
            <w:shd w:val="clear" w:color="auto" w:fill="DBEEF3"/>
            <w:tcMar>
              <w:top w:w="75" w:type="dxa"/>
              <w:left w:w="150" w:type="dxa"/>
              <w:bottom w:w="75" w:type="dxa"/>
              <w:right w:w="150" w:type="dxa"/>
            </w:tcMar>
            <w:vAlign w:val="center"/>
            <w:hideMark/>
          </w:tcPr>
          <w:p w:rsidR="005702A8" w:rsidRPr="00F15003" w:rsidRDefault="005702A8" w:rsidP="002434F7">
            <w:pPr>
              <w:spacing w:after="0" w:line="240" w:lineRule="auto"/>
              <w:jc w:val="center"/>
              <w:rPr>
                <w:rFonts w:ascii="Arial" w:eastAsia="Times New Roman" w:hAnsi="Arial" w:cs="Arial"/>
                <w:b/>
                <w:bCs/>
                <w:color w:val="000000"/>
                <w:sz w:val="24"/>
                <w:szCs w:val="24"/>
              </w:rPr>
            </w:pPr>
            <w:r w:rsidRPr="00F15003">
              <w:rPr>
                <w:rFonts w:ascii="Arial" w:eastAsia="Times New Roman" w:hAnsi="Arial" w:cs="Arial"/>
                <w:b/>
                <w:bCs/>
                <w:color w:val="000000"/>
                <w:sz w:val="24"/>
                <w:szCs w:val="24"/>
              </w:rPr>
              <w:t>Integrated Competitive Employment $9.89/hr.</w:t>
            </w:r>
          </w:p>
        </w:tc>
        <w:tc>
          <w:tcPr>
            <w:tcW w:w="2122" w:type="dxa"/>
            <w:tcBorders>
              <w:top w:val="single" w:sz="8" w:space="0" w:color="auto"/>
              <w:left w:val="single" w:sz="8" w:space="0" w:color="auto"/>
              <w:bottom w:val="single" w:sz="8" w:space="0" w:color="auto"/>
              <w:right w:val="single" w:sz="8" w:space="0" w:color="auto"/>
            </w:tcBorders>
            <w:shd w:val="clear" w:color="auto" w:fill="DBEEF3"/>
            <w:tcMar>
              <w:top w:w="75" w:type="dxa"/>
              <w:left w:w="150" w:type="dxa"/>
              <w:bottom w:w="75" w:type="dxa"/>
              <w:right w:w="150" w:type="dxa"/>
            </w:tcMar>
            <w:vAlign w:val="center"/>
            <w:hideMark/>
          </w:tcPr>
          <w:p w:rsidR="005702A8" w:rsidRDefault="005702A8" w:rsidP="002434F7">
            <w:pPr>
              <w:spacing w:after="0" w:line="240" w:lineRule="auto"/>
              <w:jc w:val="center"/>
              <w:rPr>
                <w:rFonts w:ascii="Arial" w:eastAsia="Times New Roman" w:hAnsi="Arial" w:cs="Arial"/>
                <w:b/>
                <w:bCs/>
                <w:color w:val="000000"/>
                <w:sz w:val="24"/>
                <w:szCs w:val="24"/>
              </w:rPr>
            </w:pPr>
            <w:r w:rsidRPr="00F15003">
              <w:rPr>
                <w:rFonts w:ascii="Arial" w:eastAsia="Times New Roman" w:hAnsi="Arial" w:cs="Arial"/>
                <w:b/>
                <w:bCs/>
                <w:color w:val="000000"/>
                <w:sz w:val="24"/>
                <w:szCs w:val="24"/>
              </w:rPr>
              <w:t xml:space="preserve">Group Supported Employment Programs </w:t>
            </w:r>
          </w:p>
          <w:p w:rsidR="005702A8" w:rsidRPr="00F15003" w:rsidRDefault="005702A8" w:rsidP="002434F7">
            <w:pPr>
              <w:spacing w:after="0" w:line="240" w:lineRule="auto"/>
              <w:jc w:val="center"/>
              <w:rPr>
                <w:rFonts w:ascii="Arial" w:eastAsia="Times New Roman" w:hAnsi="Arial" w:cs="Arial"/>
                <w:b/>
                <w:bCs/>
                <w:color w:val="000000"/>
                <w:sz w:val="24"/>
                <w:szCs w:val="24"/>
              </w:rPr>
            </w:pPr>
            <w:r w:rsidRPr="00F15003">
              <w:rPr>
                <w:rFonts w:ascii="Arial" w:eastAsia="Times New Roman" w:hAnsi="Arial" w:cs="Arial"/>
                <w:b/>
                <w:bCs/>
                <w:color w:val="000000"/>
                <w:sz w:val="24"/>
                <w:szCs w:val="24"/>
              </w:rPr>
              <w:t>$6.24/hr.</w:t>
            </w:r>
          </w:p>
        </w:tc>
        <w:tc>
          <w:tcPr>
            <w:tcW w:w="1724" w:type="dxa"/>
            <w:tcBorders>
              <w:top w:val="single" w:sz="8" w:space="0" w:color="auto"/>
              <w:left w:val="single" w:sz="8" w:space="0" w:color="auto"/>
              <w:bottom w:val="single" w:sz="8" w:space="0" w:color="auto"/>
              <w:right w:val="single" w:sz="8" w:space="0" w:color="auto"/>
            </w:tcBorders>
            <w:shd w:val="clear" w:color="auto" w:fill="DBEEF3"/>
            <w:tcMar>
              <w:top w:w="75" w:type="dxa"/>
              <w:left w:w="150" w:type="dxa"/>
              <w:bottom w:w="75" w:type="dxa"/>
              <w:right w:w="150" w:type="dxa"/>
            </w:tcMar>
            <w:vAlign w:val="center"/>
            <w:hideMark/>
          </w:tcPr>
          <w:p w:rsidR="005702A8" w:rsidRPr="00F15003" w:rsidRDefault="005702A8" w:rsidP="002434F7">
            <w:pPr>
              <w:spacing w:after="0" w:line="240" w:lineRule="auto"/>
              <w:jc w:val="center"/>
              <w:rPr>
                <w:rFonts w:ascii="Arial" w:eastAsia="Times New Roman" w:hAnsi="Arial" w:cs="Arial"/>
                <w:b/>
                <w:bCs/>
                <w:color w:val="000000"/>
                <w:sz w:val="24"/>
                <w:szCs w:val="24"/>
              </w:rPr>
            </w:pPr>
            <w:r w:rsidRPr="00F15003">
              <w:rPr>
                <w:rFonts w:ascii="Arial" w:eastAsia="Times New Roman" w:hAnsi="Arial" w:cs="Arial"/>
                <w:b/>
                <w:bCs/>
                <w:color w:val="000000"/>
                <w:sz w:val="24"/>
                <w:szCs w:val="24"/>
              </w:rPr>
              <w:t>WAP, Day &amp; Look Alike $?/hr.</w:t>
            </w:r>
          </w:p>
        </w:tc>
        <w:tc>
          <w:tcPr>
            <w:tcW w:w="1696" w:type="dxa"/>
            <w:tcBorders>
              <w:top w:val="single" w:sz="8" w:space="0" w:color="auto"/>
              <w:left w:val="single" w:sz="8" w:space="0" w:color="auto"/>
              <w:bottom w:val="single" w:sz="8" w:space="0" w:color="auto"/>
              <w:right w:val="single" w:sz="8" w:space="0" w:color="auto"/>
            </w:tcBorders>
            <w:shd w:val="clear" w:color="auto" w:fill="DBEEF3"/>
            <w:tcMar>
              <w:top w:w="75" w:type="dxa"/>
              <w:left w:w="150" w:type="dxa"/>
              <w:bottom w:w="75" w:type="dxa"/>
              <w:right w:w="150" w:type="dxa"/>
            </w:tcMar>
            <w:vAlign w:val="center"/>
            <w:hideMark/>
          </w:tcPr>
          <w:p w:rsidR="005702A8" w:rsidRPr="00F15003" w:rsidRDefault="005702A8" w:rsidP="002434F7">
            <w:pPr>
              <w:spacing w:after="0" w:line="240" w:lineRule="auto"/>
              <w:jc w:val="center"/>
              <w:rPr>
                <w:rFonts w:ascii="Arial" w:eastAsia="Times New Roman" w:hAnsi="Arial" w:cs="Arial"/>
                <w:b/>
                <w:bCs/>
                <w:color w:val="000000"/>
                <w:sz w:val="24"/>
                <w:szCs w:val="24"/>
              </w:rPr>
            </w:pPr>
            <w:r w:rsidRPr="00F15003">
              <w:rPr>
                <w:rFonts w:ascii="Arial" w:eastAsia="Times New Roman" w:hAnsi="Arial" w:cs="Arial"/>
                <w:b/>
                <w:bCs/>
                <w:color w:val="000000"/>
                <w:sz w:val="24"/>
                <w:szCs w:val="24"/>
              </w:rPr>
              <w:t>Other Consumers $?/hr.</w:t>
            </w:r>
          </w:p>
        </w:tc>
      </w:tr>
      <w:tr w:rsidR="005702A8" w:rsidRPr="00F15003" w:rsidTr="00BC305E">
        <w:trPr>
          <w:trHeight w:val="356"/>
          <w:jc w:val="center"/>
        </w:trPr>
        <w:tc>
          <w:tcPr>
            <w:tcW w:w="1914" w:type="dxa"/>
            <w:tcBorders>
              <w:top w:val="nil"/>
              <w:left w:val="single" w:sz="8" w:space="0" w:color="auto"/>
              <w:bottom w:val="single" w:sz="8" w:space="0" w:color="auto"/>
              <w:right w:val="single" w:sz="8" w:space="0" w:color="auto"/>
            </w:tcBorders>
            <w:tcMar>
              <w:top w:w="150" w:type="dxa"/>
              <w:left w:w="0" w:type="dxa"/>
              <w:bottom w:w="150" w:type="dxa"/>
              <w:right w:w="0" w:type="dxa"/>
            </w:tcMar>
            <w:vAlign w:val="center"/>
            <w:hideMark/>
          </w:tcPr>
          <w:p w:rsidR="005702A8" w:rsidRPr="00F15003" w:rsidRDefault="005702A8" w:rsidP="002434F7">
            <w:pPr>
              <w:spacing w:after="0" w:line="240" w:lineRule="auto"/>
              <w:jc w:val="center"/>
              <w:rPr>
                <w:rFonts w:ascii="Arial" w:eastAsia="Times New Roman" w:hAnsi="Arial" w:cs="Arial"/>
                <w:color w:val="000000"/>
                <w:sz w:val="24"/>
                <w:szCs w:val="24"/>
              </w:rPr>
            </w:pPr>
            <w:r w:rsidRPr="00F15003">
              <w:rPr>
                <w:rFonts w:ascii="Arial" w:eastAsia="Times New Roman" w:hAnsi="Arial" w:cs="Arial"/>
                <w:b/>
                <w:bCs/>
                <w:color w:val="000000"/>
                <w:sz w:val="24"/>
                <w:szCs w:val="24"/>
              </w:rPr>
              <w:t>4,505</w:t>
            </w:r>
          </w:p>
        </w:tc>
        <w:tc>
          <w:tcPr>
            <w:tcW w:w="2122" w:type="dxa"/>
            <w:tcBorders>
              <w:top w:val="nil"/>
              <w:left w:val="single" w:sz="8" w:space="0" w:color="auto"/>
              <w:bottom w:val="single" w:sz="8" w:space="0" w:color="auto"/>
              <w:right w:val="single" w:sz="8" w:space="0" w:color="auto"/>
            </w:tcBorders>
            <w:tcMar>
              <w:top w:w="150" w:type="dxa"/>
              <w:left w:w="0" w:type="dxa"/>
              <w:bottom w:w="150" w:type="dxa"/>
              <w:right w:w="0" w:type="dxa"/>
            </w:tcMar>
            <w:vAlign w:val="center"/>
            <w:hideMark/>
          </w:tcPr>
          <w:p w:rsidR="005702A8" w:rsidRPr="00F15003" w:rsidRDefault="005702A8" w:rsidP="002434F7">
            <w:pPr>
              <w:spacing w:after="0" w:line="240" w:lineRule="auto"/>
              <w:jc w:val="center"/>
              <w:rPr>
                <w:rFonts w:ascii="Arial" w:eastAsia="Times New Roman" w:hAnsi="Arial" w:cs="Arial"/>
                <w:color w:val="000000"/>
                <w:sz w:val="24"/>
                <w:szCs w:val="24"/>
              </w:rPr>
            </w:pPr>
            <w:r w:rsidRPr="00F15003">
              <w:rPr>
                <w:rFonts w:ascii="Arial" w:eastAsia="Times New Roman" w:hAnsi="Arial" w:cs="Arial"/>
                <w:b/>
                <w:bCs/>
                <w:color w:val="000000"/>
                <w:sz w:val="24"/>
                <w:szCs w:val="24"/>
              </w:rPr>
              <w:t>5,425</w:t>
            </w:r>
          </w:p>
        </w:tc>
        <w:tc>
          <w:tcPr>
            <w:tcW w:w="1724" w:type="dxa"/>
            <w:tcBorders>
              <w:top w:val="nil"/>
              <w:left w:val="single" w:sz="8" w:space="0" w:color="auto"/>
              <w:bottom w:val="single" w:sz="8" w:space="0" w:color="auto"/>
              <w:right w:val="single" w:sz="8" w:space="0" w:color="auto"/>
            </w:tcBorders>
            <w:tcMar>
              <w:top w:w="150" w:type="dxa"/>
              <w:left w:w="0" w:type="dxa"/>
              <w:bottom w:w="150" w:type="dxa"/>
              <w:right w:w="0" w:type="dxa"/>
            </w:tcMar>
            <w:vAlign w:val="center"/>
            <w:hideMark/>
          </w:tcPr>
          <w:p w:rsidR="005702A8" w:rsidRPr="00F15003" w:rsidRDefault="005702A8" w:rsidP="002434F7">
            <w:pPr>
              <w:spacing w:after="0" w:line="240" w:lineRule="auto"/>
              <w:jc w:val="center"/>
              <w:rPr>
                <w:rFonts w:ascii="Arial" w:eastAsia="Times New Roman" w:hAnsi="Arial" w:cs="Arial"/>
                <w:color w:val="000000"/>
                <w:sz w:val="24"/>
                <w:szCs w:val="24"/>
              </w:rPr>
            </w:pPr>
            <w:r w:rsidRPr="00F15003">
              <w:rPr>
                <w:rFonts w:ascii="Arial" w:eastAsia="Times New Roman" w:hAnsi="Arial" w:cs="Arial"/>
                <w:b/>
                <w:bCs/>
                <w:color w:val="000000"/>
                <w:sz w:val="24"/>
                <w:szCs w:val="24"/>
              </w:rPr>
              <w:t>67,042</w:t>
            </w:r>
            <w:r w:rsidRPr="00F15003">
              <w:rPr>
                <w:rFonts w:ascii="Arial" w:eastAsia="Times New Roman" w:hAnsi="Arial" w:cs="Arial"/>
                <w:color w:val="000000"/>
                <w:sz w:val="24"/>
                <w:szCs w:val="24"/>
              </w:rPr>
              <w:t xml:space="preserve"> </w:t>
            </w:r>
          </w:p>
        </w:tc>
        <w:tc>
          <w:tcPr>
            <w:tcW w:w="1696" w:type="dxa"/>
            <w:tcBorders>
              <w:top w:val="nil"/>
              <w:left w:val="single" w:sz="8" w:space="0" w:color="auto"/>
              <w:bottom w:val="single" w:sz="8" w:space="0" w:color="auto"/>
              <w:right w:val="single" w:sz="8" w:space="0" w:color="auto"/>
            </w:tcBorders>
            <w:tcMar>
              <w:top w:w="150" w:type="dxa"/>
              <w:left w:w="0" w:type="dxa"/>
              <w:bottom w:w="150" w:type="dxa"/>
              <w:right w:w="0" w:type="dxa"/>
            </w:tcMar>
            <w:vAlign w:val="center"/>
            <w:hideMark/>
          </w:tcPr>
          <w:p w:rsidR="005702A8" w:rsidRPr="00F15003" w:rsidRDefault="005702A8" w:rsidP="002434F7">
            <w:pPr>
              <w:spacing w:after="0" w:line="240" w:lineRule="auto"/>
              <w:jc w:val="center"/>
              <w:rPr>
                <w:rFonts w:ascii="Arial" w:eastAsia="Times New Roman" w:hAnsi="Arial" w:cs="Arial"/>
                <w:color w:val="000000"/>
                <w:sz w:val="24"/>
                <w:szCs w:val="24"/>
              </w:rPr>
            </w:pPr>
            <w:r w:rsidRPr="00F15003">
              <w:rPr>
                <w:rFonts w:ascii="Arial" w:eastAsia="Times New Roman" w:hAnsi="Arial" w:cs="Arial"/>
                <w:b/>
                <w:bCs/>
                <w:color w:val="000000"/>
                <w:sz w:val="24"/>
                <w:szCs w:val="24"/>
              </w:rPr>
              <w:t>69,138</w:t>
            </w:r>
          </w:p>
        </w:tc>
      </w:tr>
    </w:tbl>
    <w:p w:rsidR="005702A8" w:rsidRDefault="005702A8" w:rsidP="005702A8"/>
    <w:p w:rsidR="005702A8" w:rsidRPr="00F15003" w:rsidRDefault="005702A8" w:rsidP="005702A8">
      <w:pPr>
        <w:rPr>
          <w:rFonts w:ascii="Arial" w:hAnsi="Arial" w:cs="Arial"/>
          <w:sz w:val="25"/>
          <w:szCs w:val="25"/>
        </w:rPr>
      </w:pPr>
      <w:r w:rsidRPr="00F15003">
        <w:rPr>
          <w:rFonts w:ascii="Arial" w:hAnsi="Arial" w:cs="Arial"/>
          <w:sz w:val="25"/>
          <w:szCs w:val="25"/>
        </w:rPr>
        <w:t>In 2011, only 4,505 working age regional center clients had regular jobs and only 5,425 worked in group supported employment.  Over 67,000 attended day programs, sheltered workshops, and look alike day programs; most of those were not working, and many of those that do work earn less than minimum wage.  Over 69,000 other regional center clients of working age are not served in any of these options.</w:t>
      </w:r>
      <w:r>
        <w:rPr>
          <w:rFonts w:ascii="Arial" w:hAnsi="Arial" w:cs="Arial"/>
          <w:sz w:val="25"/>
          <w:szCs w:val="25"/>
        </w:rPr>
        <w:t xml:space="preserve"> </w:t>
      </w:r>
    </w:p>
    <w:p w:rsidR="005702A8" w:rsidRPr="00F15003" w:rsidRDefault="005702A8" w:rsidP="005702A8">
      <w:pPr>
        <w:rPr>
          <w:rFonts w:ascii="Arial" w:hAnsi="Arial" w:cs="Arial"/>
          <w:sz w:val="25"/>
          <w:szCs w:val="25"/>
        </w:rPr>
      </w:pPr>
      <w:r w:rsidRPr="00F15003">
        <w:rPr>
          <w:rFonts w:ascii="Arial" w:hAnsi="Arial" w:cs="Arial"/>
          <w:b/>
          <w:sz w:val="25"/>
          <w:szCs w:val="25"/>
        </w:rPr>
        <w:t xml:space="preserve">What this page shows us: </w:t>
      </w:r>
      <w:r w:rsidRPr="00F15003">
        <w:rPr>
          <w:rFonts w:ascii="Arial" w:hAnsi="Arial" w:cs="Arial"/>
          <w:sz w:val="25"/>
          <w:szCs w:val="25"/>
        </w:rPr>
        <w:t xml:space="preserve"> There are not many people in integrated competitive employment. There are only 3.1% of working age regional center clients in regular jobs and 3.7% working in small groups. 93.2% of them are in sheltered work or day services, or have no day services at all.   The small slivers of the pie chart below shows how small those percentages are, and how far we have to go to support people in integrated work.</w:t>
      </w:r>
    </w:p>
    <w:p w:rsidR="005702A8" w:rsidRDefault="005702A8" w:rsidP="005702A8">
      <w:pPr>
        <w:jc w:val="center"/>
      </w:pPr>
      <w:r>
        <w:rPr>
          <w:rFonts w:ascii="Arial" w:hAnsi="Arial" w:cs="Arial"/>
          <w:noProof/>
          <w:color w:val="505050"/>
          <w:sz w:val="19"/>
          <w:szCs w:val="19"/>
        </w:rPr>
        <w:lastRenderedPageBreak/>
        <w:drawing>
          <wp:inline distT="0" distB="0" distL="0" distR="0" wp14:anchorId="1C05DE76" wp14:editId="283412D6">
            <wp:extent cx="4535424" cy="3236976"/>
            <wp:effectExtent l="0" t="0" r="0" b="1905"/>
            <wp:docPr id="1" name="Picture 1" descr="This is a graph showing the average hourly wage of consumers by program type.  This graph provides the same information as the table above it as well as the narrative on the page.  " title="Average Hourly Wa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quo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5424" cy="3236976"/>
                    </a:xfrm>
                    <a:prstGeom prst="rect">
                      <a:avLst/>
                    </a:prstGeom>
                    <a:noFill/>
                    <a:ln>
                      <a:noFill/>
                    </a:ln>
                  </pic:spPr>
                </pic:pic>
              </a:graphicData>
            </a:graphic>
          </wp:inline>
        </w:drawing>
      </w:r>
    </w:p>
    <w:p w:rsidR="005702A8" w:rsidRPr="008623E0" w:rsidRDefault="005702A8" w:rsidP="00004D58">
      <w:pPr>
        <w:pStyle w:val="Heading2"/>
        <w:pBdr>
          <w:top w:val="single" w:sz="4" w:space="1" w:color="auto"/>
          <w:bottom w:val="single" w:sz="4" w:space="1" w:color="auto"/>
        </w:pBdr>
      </w:pPr>
      <w:r w:rsidRPr="008623E0">
        <w:t>DATA SOURCE: National Core Indicators (FY 2011-2012)</w:t>
      </w:r>
    </w:p>
    <w:p w:rsidR="005702A8" w:rsidRPr="00FF1344" w:rsidRDefault="005702A8" w:rsidP="00004D58">
      <w:pPr>
        <w:pBdr>
          <w:top w:val="single" w:sz="4" w:space="1" w:color="auto"/>
          <w:bottom w:val="single" w:sz="4" w:space="1" w:color="auto"/>
        </w:pBdr>
        <w:spacing w:before="192" w:after="192" w:line="240" w:lineRule="auto"/>
        <w:rPr>
          <w:rFonts w:ascii="Arial" w:eastAsia="Times New Roman" w:hAnsi="Arial" w:cs="Arial"/>
          <w:color w:val="505050"/>
          <w:sz w:val="25"/>
          <w:szCs w:val="25"/>
          <w:lang w:val="en"/>
        </w:rPr>
      </w:pPr>
      <w:r w:rsidRPr="00FF1344">
        <w:rPr>
          <w:rFonts w:ascii="Arial" w:eastAsia="Times New Roman" w:hAnsi="Arial" w:cs="Arial"/>
          <w:color w:val="505050"/>
          <w:sz w:val="25"/>
          <w:szCs w:val="25"/>
          <w:lang w:val="en"/>
        </w:rPr>
        <w:t xml:space="preserve">The National Core Indicators (NCI) is a standard set of performance measures used by states to determine and track outcomes of services and supports offered to individuals with intellectual/developmental disabilities. Key areas such as employment, service planning, community inclusion, safety, rights, individual choices and health are measured. In California, in alternating years, survey questions are presented to adults with intellectual/developmental disabilities, their family or guardian. All survey participants for that year are administered the same standard questions about how they feel regarding the State services and support received. The results provide the California Department of Developmental Services (DDS) with measurable performance outcomes. </w:t>
      </w:r>
      <w:r w:rsidR="00004D58">
        <w:rPr>
          <w:rFonts w:ascii="Arial" w:eastAsia="Times New Roman" w:hAnsi="Arial" w:cs="Arial"/>
          <w:color w:val="505050"/>
          <w:sz w:val="25"/>
          <w:szCs w:val="25"/>
          <w:lang w:val="en"/>
        </w:rPr>
        <w:br/>
      </w:r>
    </w:p>
    <w:p w:rsidR="003D2FBB" w:rsidRDefault="003D2FBB"/>
    <w:sectPr w:rsidR="003D2FBB" w:rsidSect="00C0534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pkXzBE0dLM5dPMczIgx5T5jl7Ks=" w:salt="remMKl8ksaso8nL5Pqb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A8"/>
    <w:rsid w:val="00004D58"/>
    <w:rsid w:val="000E4636"/>
    <w:rsid w:val="00165AFF"/>
    <w:rsid w:val="001A0BD9"/>
    <w:rsid w:val="0032095D"/>
    <w:rsid w:val="00396134"/>
    <w:rsid w:val="003D2FBB"/>
    <w:rsid w:val="00507948"/>
    <w:rsid w:val="005702A8"/>
    <w:rsid w:val="006172D4"/>
    <w:rsid w:val="007D6DB6"/>
    <w:rsid w:val="008623E0"/>
    <w:rsid w:val="008C1802"/>
    <w:rsid w:val="008C56DE"/>
    <w:rsid w:val="009F3247"/>
    <w:rsid w:val="00A84019"/>
    <w:rsid w:val="00AD1ABD"/>
    <w:rsid w:val="00BC305E"/>
    <w:rsid w:val="00BD7C78"/>
    <w:rsid w:val="00C05348"/>
    <w:rsid w:val="00C1272A"/>
    <w:rsid w:val="00D25B83"/>
    <w:rsid w:val="00DF0B0F"/>
    <w:rsid w:val="00EF794A"/>
    <w:rsid w:val="00F31E1F"/>
    <w:rsid w:val="00FC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F939C-622E-4C57-BF5A-11850A6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8"/>
    <w:pPr>
      <w:spacing w:after="200" w:line="276" w:lineRule="auto"/>
    </w:pPr>
  </w:style>
  <w:style w:type="paragraph" w:styleId="Heading1">
    <w:name w:val="heading 1"/>
    <w:basedOn w:val="Normal"/>
    <w:next w:val="Normal"/>
    <w:link w:val="Heading1Char"/>
    <w:uiPriority w:val="9"/>
    <w:qFormat/>
    <w:rsid w:val="00396134"/>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396134"/>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134"/>
    <w:rPr>
      <w:rFonts w:ascii="Arial" w:eastAsiaTheme="majorEastAsia" w:hAnsi="Arial" w:cstheme="majorBidi"/>
      <w:b/>
      <w:bCs/>
      <w:sz w:val="36"/>
      <w:szCs w:val="28"/>
    </w:rPr>
  </w:style>
  <w:style w:type="paragraph" w:styleId="BalloonText">
    <w:name w:val="Balloon Text"/>
    <w:basedOn w:val="Normal"/>
    <w:link w:val="BalloonTextChar"/>
    <w:uiPriority w:val="99"/>
    <w:semiHidden/>
    <w:unhideWhenUsed/>
    <w:rsid w:val="0057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A8"/>
    <w:rPr>
      <w:rFonts w:ascii="Tahoma" w:hAnsi="Tahoma" w:cs="Tahoma"/>
      <w:sz w:val="16"/>
      <w:szCs w:val="16"/>
    </w:rPr>
  </w:style>
  <w:style w:type="character" w:styleId="Strong">
    <w:name w:val="Strong"/>
    <w:basedOn w:val="DefaultParagraphFont"/>
    <w:uiPriority w:val="22"/>
    <w:qFormat/>
    <w:rsid w:val="00396134"/>
    <w:rPr>
      <w:rFonts w:ascii="Arial" w:hAnsi="Arial"/>
      <w:b/>
      <w:bCs/>
      <w:color w:val="auto"/>
      <w:sz w:val="25"/>
    </w:rPr>
  </w:style>
  <w:style w:type="character" w:customStyle="1" w:styleId="Heading2Char">
    <w:name w:val="Heading 2 Char"/>
    <w:basedOn w:val="DefaultParagraphFont"/>
    <w:link w:val="Heading2"/>
    <w:uiPriority w:val="9"/>
    <w:rsid w:val="00396134"/>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616F-13F6-4CF7-8F36-3215A281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ISDAdmin</dc:creator>
  <cp:lastModifiedBy>Pat Van</cp:lastModifiedBy>
  <cp:revision>2</cp:revision>
  <cp:lastPrinted>2014-10-20T17:25:00Z</cp:lastPrinted>
  <dcterms:created xsi:type="dcterms:W3CDTF">2016-10-20T20:54:00Z</dcterms:created>
  <dcterms:modified xsi:type="dcterms:W3CDTF">2016-10-20T20:54:00Z</dcterms:modified>
</cp:coreProperties>
</file>